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版本号：HYGH2026-ZCCS-061220260618001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西安市生态产品价值实现试点核算项目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HYGH2026-ZCCS-0612</w:t>
      </w:r>
      <w:r>
        <w:br/>
      </w:r>
      <w:r>
        <w:br/>
      </w:r>
      <w:r>
        <w:br/>
      </w:r>
    </w:p>
    <w:p>
      <w:pPr>
        <w:pStyle w:val="null3"/>
        <w:jc w:val="center"/>
        <w:outlineLvl w:val="2"/>
      </w:pPr>
      <w:r>
        <w:rPr>
          <w:rFonts w:ascii="仿宋_GB2312" w:hAnsi="仿宋_GB2312" w:cs="仿宋_GB2312" w:eastAsia="仿宋_GB2312"/>
          <w:sz w:val="28"/>
          <w:b/>
        </w:rPr>
        <w:t>西安市发展和改革委员会（本级）</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西安市发展和改革委员会（本级）</w:t>
      </w:r>
      <w:r>
        <w:rPr>
          <w:rFonts w:ascii="仿宋_GB2312" w:hAnsi="仿宋_GB2312" w:cs="仿宋_GB2312" w:eastAsia="仿宋_GB2312"/>
        </w:rPr>
        <w:t>委托，拟对</w:t>
      </w:r>
      <w:r>
        <w:rPr>
          <w:rFonts w:ascii="仿宋_GB2312" w:hAnsi="仿宋_GB2312" w:cs="仿宋_GB2312" w:eastAsia="仿宋_GB2312"/>
        </w:rPr>
        <w:t>西安市生态产品价值实现试点核算项目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HYGH2026-ZCCS-0612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西安市生态产品价值实现试点核算项目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生态产品价值实现试点核算，拟以秦岭北麓沿山临潼区、灞桥区、蓝田县、长安区、鄠邑区、周至县六个区县为试点区域，全面摸清试点区域生态产品数量、分布、权益归属等基础信息，系统开展生态产品总值（GEP）核算，编制六个试点区县《生态产品目录清单》《生态产品价值核算报告》，制定市级《生态产品价值核算技术办法（试行）》，构建标准化核算体系，探索具有西安本土特色的生态产品价值实现路径，编制生态产品价值实现全流程智能化服务平台规划方案，为全市生态产品价值实现工作提供可复制、可推广的实践经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采购包1（西安市生态产品价值实现试点核算项目）：属于专门面向中小企业采购。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列入信用中国网站(www.creditchina.gov.cn)“重大税收违法失信主体”；未被列入中国执行信息公开网(https://zxgk.court.gov.cn)“失信被执行人”；不处于中国政府采购网(www.ccgp.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西安市政府7号楼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薛文谊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67096338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刘沁园、臧成杰、张文合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18392446490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采购代理机构参照国家计委颁布《招标代理服务收费管理暂行办法》（计价格[2002]1980号）、按照国家发改委文件发改价格[2011]534号文件及国家计委价格[2002]1980号文件规定的标准下浮 5% 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西安市发展和改革委员会（本级）</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西安市发展和改革委员会（本级）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联系电话：18392446490</w:t>
      </w:r>
    </w:p>
    <w:p>
      <w:pPr>
        <w:pStyle w:val="null3"/>
      </w:pPr>
      <w:r>
        <w:rPr>
          <w:rFonts w:ascii="仿宋_GB2312" w:hAnsi="仿宋_GB2312" w:cs="仿宋_GB2312" w:eastAsia="仿宋_GB2312"/>
        </w:rPr>
        <w:t>地址：陕西省西安市阎良区国家航空高技术产业基地蓝天一路 29号西安航空创新创业园研发楼301-12</w:t>
      </w:r>
    </w:p>
    <w:p>
      <w:pPr>
        <w:pStyle w:val="null3"/>
      </w:pPr>
      <w:r>
        <w:rPr>
          <w:rFonts w:ascii="仿宋_GB2312" w:hAnsi="仿宋_GB2312" w:cs="仿宋_GB2312" w:eastAsia="仿宋_GB2312"/>
        </w:rPr>
        <w:t>邮编：710089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生态产品价值实现试点核算，拟以秦岭北麓沿山临潼区、灞桥区、蓝田县、长安区、鄠邑区、周至县六个区县为试点区域，全面摸清试点区域生态产品数量、分布、权益归属等基础信息，系统开展生态产品总值（GEP）核算，编制六个试点区县《生态产品目录清单》《生态产品价值核算报告》，制定市级《生态产品价值核算技术办法（试行）》，构建标准化核算体系，探索具有西安本土特色的生态产品价值实现路径，编制生态产品价值实现全流程智能化服务平台规划方案，为全市生态产品价值实现工作提供可复制、可推广的实践经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西安市生态产品价值实现试点核算项目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标的名称：西安市生态产品价值实现试点核算项目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81"/>
            </w:pPr>
            <w:r>
              <w:rPr>
                <w:rFonts w:ascii="仿宋_GB2312" w:hAnsi="仿宋_GB2312" w:cs="仿宋_GB2312" w:eastAsia="仿宋_GB2312"/>
                <w:sz w:val="24"/>
                <w:b/>
                <w:color w:val="000000"/>
              </w:rPr>
              <w:t>一、项目概况</w:t>
            </w:r>
          </w:p>
          <w:p>
            <w:pPr>
              <w:pStyle w:val="null3"/>
              <w:ind w:firstLine="381"/>
            </w:pPr>
            <w:r>
              <w:rPr>
                <w:rFonts w:ascii="仿宋_GB2312" w:hAnsi="仿宋_GB2312" w:cs="仿宋_GB2312" w:eastAsia="仿宋_GB2312"/>
                <w:sz w:val="24"/>
                <w:color w:val="000000"/>
              </w:rPr>
              <w:t>本项目为西安市生态产品价值实现试点核算，拟以秦岭北麓沿山临潼区、灞桥区、蓝田县、长安区、鄠邑区、周至县六个区县为试点区域，全面摸清试点区域生态产品数量、分布、权益归属等基础信息，系统开展生态产品总值（</w:t>
            </w:r>
            <w:r>
              <w:rPr>
                <w:rFonts w:ascii="仿宋_GB2312" w:hAnsi="仿宋_GB2312" w:cs="仿宋_GB2312" w:eastAsia="仿宋_GB2312"/>
                <w:sz w:val="24"/>
                <w:color w:val="000000"/>
              </w:rPr>
              <w:t>GEP）核算，编制六个试点区县《生态产品目录清单》《生态产品价值核算报告》，制定市级《生态产品价值核算技术办法（试行）》，构建标准化核算体系，探索具有西安本土特色的生态产品价值实现路径，编制生态产品价值实现全流程智能化服务平台规划方案，为全市生态产品价值实现工作提供可复制、可推广的实践经验。</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381"/>
            </w:pPr>
            <w:r>
              <w:rPr>
                <w:rFonts w:ascii="仿宋_GB2312" w:hAnsi="仿宋_GB2312" w:cs="仿宋_GB2312" w:eastAsia="仿宋_GB2312"/>
                <w:sz w:val="24"/>
                <w:b/>
                <w:color w:val="000000"/>
              </w:rPr>
              <w:t>二、服务内容</w:t>
            </w:r>
          </w:p>
          <w:p>
            <w:pPr>
              <w:pStyle w:val="null3"/>
              <w:ind w:firstLine="381"/>
            </w:pPr>
            <w:r>
              <w:rPr>
                <w:rFonts w:ascii="仿宋_GB2312" w:hAnsi="仿宋_GB2312" w:cs="仿宋_GB2312" w:eastAsia="仿宋_GB2312"/>
                <w:sz w:val="24"/>
              </w:rPr>
              <w:t>1.</w:t>
            </w:r>
            <w:r>
              <w:rPr>
                <w:rFonts w:ascii="仿宋_GB2312" w:hAnsi="仿宋_GB2312" w:cs="仿宋_GB2312" w:eastAsia="仿宋_GB2312"/>
                <w:sz w:val="24"/>
              </w:rPr>
              <w:t>选取</w:t>
            </w:r>
            <w:r>
              <w:rPr>
                <w:rFonts w:ascii="仿宋_GB2312" w:hAnsi="仿宋_GB2312" w:cs="仿宋_GB2312" w:eastAsia="仿宋_GB2312"/>
                <w:sz w:val="24"/>
              </w:rPr>
              <w:t>6</w:t>
            </w:r>
            <w:r>
              <w:rPr>
                <w:rFonts w:ascii="仿宋_GB2312" w:hAnsi="仿宋_GB2312" w:cs="仿宋_GB2312" w:eastAsia="仿宋_GB2312"/>
                <w:sz w:val="24"/>
              </w:rPr>
              <w:t>个代表性试点区县（建议：周至县、蓝田县、鄠邑区、长安区、临潼区、灞桥区），梳理生态产品种类，明晰数量、分布、权益归属等，编制</w:t>
            </w:r>
            <w:r>
              <w:rPr>
                <w:rFonts w:ascii="仿宋_GB2312" w:hAnsi="仿宋_GB2312" w:cs="仿宋_GB2312" w:eastAsia="仿宋_GB2312"/>
                <w:sz w:val="24"/>
              </w:rPr>
              <w:t>6</w:t>
            </w:r>
            <w:r>
              <w:rPr>
                <w:rFonts w:ascii="仿宋_GB2312" w:hAnsi="仿宋_GB2312" w:cs="仿宋_GB2312" w:eastAsia="仿宋_GB2312"/>
                <w:sz w:val="24"/>
              </w:rPr>
              <w:t>个区县《生态产品目录清单》及市级汇总清单。</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收集整理分析</w:t>
            </w:r>
            <w:r>
              <w:rPr>
                <w:rFonts w:ascii="仿宋_GB2312" w:hAnsi="仿宋_GB2312" w:cs="仿宋_GB2312" w:eastAsia="仿宋_GB2312"/>
                <w:sz w:val="24"/>
              </w:rPr>
              <w:t>6</w:t>
            </w:r>
            <w:r>
              <w:rPr>
                <w:rFonts w:ascii="仿宋_GB2312" w:hAnsi="仿宋_GB2312" w:cs="仿宋_GB2312" w:eastAsia="仿宋_GB2312"/>
                <w:sz w:val="24"/>
              </w:rPr>
              <w:t>个试点区县生态产品相关数据，结合实地调研结果，开展生态产品价值（</w:t>
            </w:r>
            <w:r>
              <w:rPr>
                <w:rFonts w:ascii="仿宋_GB2312" w:hAnsi="仿宋_GB2312" w:cs="仿宋_GB2312" w:eastAsia="仿宋_GB2312"/>
                <w:sz w:val="24"/>
              </w:rPr>
              <w:t>GEP</w:t>
            </w:r>
            <w:r>
              <w:rPr>
                <w:rFonts w:ascii="仿宋_GB2312" w:hAnsi="仿宋_GB2312" w:cs="仿宋_GB2312" w:eastAsia="仿宋_GB2312"/>
                <w:sz w:val="24"/>
              </w:rPr>
              <w:t>）核算，编制</w:t>
            </w:r>
            <w:r>
              <w:rPr>
                <w:rFonts w:ascii="仿宋_GB2312" w:hAnsi="仿宋_GB2312" w:cs="仿宋_GB2312" w:eastAsia="仿宋_GB2312"/>
                <w:sz w:val="24"/>
              </w:rPr>
              <w:t>6</w:t>
            </w:r>
            <w:r>
              <w:rPr>
                <w:rFonts w:ascii="仿宋_GB2312" w:hAnsi="仿宋_GB2312" w:cs="仿宋_GB2312" w:eastAsia="仿宋_GB2312"/>
                <w:sz w:val="24"/>
              </w:rPr>
              <w:t>个区县《生态产品价值核算报告》。</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制定市级《生态产品价值核算技术办法（试行）》，提供标准化核算支持。</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探索本土生态产品价值实现机制，研究覆盖调查监测、确权登记、核算评估、供需中介、咨询服务、交易监管的全流程智能化服务平台，编制规划方案。</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381"/>
            </w:pPr>
            <w:r>
              <w:rPr>
                <w:rFonts w:ascii="仿宋_GB2312" w:hAnsi="仿宋_GB2312" w:cs="仿宋_GB2312" w:eastAsia="仿宋_GB2312"/>
                <w:sz w:val="24"/>
                <w:b/>
                <w:color w:val="000000"/>
              </w:rPr>
              <w:t>三、服务要求</w:t>
            </w:r>
          </w:p>
          <w:p>
            <w:pPr>
              <w:pStyle w:val="null3"/>
              <w:ind w:firstLine="380"/>
            </w:pPr>
            <w:r>
              <w:rPr>
                <w:rFonts w:ascii="仿宋_GB2312" w:hAnsi="仿宋_GB2312" w:cs="仿宋_GB2312" w:eastAsia="仿宋_GB2312"/>
                <w:sz w:val="24"/>
              </w:rPr>
              <w:t>1.</w:t>
            </w:r>
            <w:r>
              <w:rPr>
                <w:rFonts w:ascii="仿宋_GB2312" w:hAnsi="仿宋_GB2312" w:cs="仿宋_GB2312" w:eastAsia="仿宋_GB2312"/>
                <w:sz w:val="24"/>
              </w:rPr>
              <w:t>人员配置要求</w:t>
            </w:r>
          </w:p>
          <w:p>
            <w:pPr>
              <w:pStyle w:val="null3"/>
              <w:ind w:firstLine="420"/>
              <w:jc w:val="both"/>
            </w:pPr>
            <w:r>
              <w:rPr>
                <w:rFonts w:ascii="仿宋_GB2312" w:hAnsi="仿宋_GB2312" w:cs="仿宋_GB2312" w:eastAsia="仿宋_GB2312"/>
                <w:sz w:val="24"/>
              </w:rPr>
              <w:t>响应供应商应满足国家相关法律法规要求，配备具有相关专业的技术人员。</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专业设备要求</w:t>
            </w:r>
          </w:p>
          <w:p>
            <w:pPr>
              <w:pStyle w:val="null3"/>
              <w:ind w:firstLine="420"/>
              <w:jc w:val="both"/>
            </w:pPr>
            <w:r>
              <w:rPr>
                <w:rFonts w:ascii="仿宋_GB2312" w:hAnsi="仿宋_GB2312" w:cs="仿宋_GB2312" w:eastAsia="仿宋_GB2312"/>
                <w:sz w:val="24"/>
              </w:rPr>
              <w:t>响应供应商需配备满足本项目服务所必需的设备和专业技术能力。</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服务标准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）建立试点区县生态产品基础数据库和目录体系。</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）量化生态产品价值，形成可应用报告。</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）提供本地化技术规范，支持全市推广。</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）探索智能化平台模式，开展生态产品价值实现从“度量难”到“变现易”的全链条路径研究，助力秦岭北麓生态保护与绿色高质量发展。</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服务执行要求</w:t>
            </w:r>
          </w:p>
          <w:p>
            <w:pPr>
              <w:pStyle w:val="null3"/>
              <w:ind w:firstLine="420"/>
              <w:jc w:val="both"/>
            </w:pPr>
            <w:r>
              <w:rPr>
                <w:rFonts w:ascii="仿宋_GB2312" w:hAnsi="仿宋_GB2312" w:cs="仿宋_GB2312" w:eastAsia="仿宋_GB2312"/>
                <w:sz w:val="24"/>
              </w:rPr>
              <w:t>严格按照采购人工作部署及时间节点推进各项工作。主动接受采购人日常监督、检查与考核，及时响应采购人工作调整要求，按时采购文件要求的相关内容。</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成果交付要求</w:t>
            </w:r>
          </w:p>
          <w:p>
            <w:pPr>
              <w:pStyle w:val="null3"/>
              <w:ind w:firstLine="420"/>
              <w:jc w:val="both"/>
            </w:pPr>
            <w:r>
              <w:rPr>
                <w:rFonts w:ascii="仿宋_GB2312" w:hAnsi="仿宋_GB2312" w:cs="仿宋_GB2312" w:eastAsia="仿宋_GB2312"/>
                <w:sz w:val="24"/>
              </w:rPr>
              <w:t>完成西安市生态产品价值实现试点核算（</w:t>
            </w:r>
            <w:r>
              <w:rPr>
                <w:rFonts w:ascii="仿宋_GB2312" w:hAnsi="仿宋_GB2312" w:cs="仿宋_GB2312" w:eastAsia="仿宋_GB2312"/>
                <w:sz w:val="24"/>
              </w:rPr>
              <w:t>6</w:t>
            </w:r>
            <w:r>
              <w:rPr>
                <w:rFonts w:ascii="仿宋_GB2312" w:hAnsi="仿宋_GB2312" w:cs="仿宋_GB2312" w:eastAsia="仿宋_GB2312"/>
                <w:sz w:val="24"/>
              </w:rPr>
              <w:t>份区县目录清单、</w:t>
            </w:r>
            <w:r>
              <w:rPr>
                <w:rFonts w:ascii="仿宋_GB2312" w:hAnsi="仿宋_GB2312" w:cs="仿宋_GB2312" w:eastAsia="仿宋_GB2312"/>
                <w:sz w:val="24"/>
              </w:rPr>
              <w:t>6</w:t>
            </w:r>
            <w:r>
              <w:rPr>
                <w:rFonts w:ascii="仿宋_GB2312" w:hAnsi="仿宋_GB2312" w:cs="仿宋_GB2312" w:eastAsia="仿宋_GB2312"/>
                <w:sz w:val="24"/>
              </w:rPr>
              <w:t>份核算报告、</w:t>
            </w:r>
            <w:r>
              <w:rPr>
                <w:rFonts w:ascii="仿宋_GB2312" w:hAnsi="仿宋_GB2312" w:cs="仿宋_GB2312" w:eastAsia="仿宋_GB2312"/>
                <w:sz w:val="24"/>
              </w:rPr>
              <w:t>1</w:t>
            </w:r>
            <w:r>
              <w:rPr>
                <w:rFonts w:ascii="仿宋_GB2312" w:hAnsi="仿宋_GB2312" w:cs="仿宋_GB2312" w:eastAsia="仿宋_GB2312"/>
                <w:sz w:val="24"/>
              </w:rPr>
              <w:t>份市级技术办法（试行）、</w:t>
            </w:r>
            <w:r>
              <w:rPr>
                <w:rFonts w:ascii="仿宋_GB2312" w:hAnsi="仿宋_GB2312" w:cs="仿宋_GB2312" w:eastAsia="仿宋_GB2312"/>
                <w:sz w:val="24"/>
              </w:rPr>
              <w:t>1</w:t>
            </w:r>
            <w:r>
              <w:rPr>
                <w:rFonts w:ascii="仿宋_GB2312" w:hAnsi="仿宋_GB2312" w:cs="仿宋_GB2312" w:eastAsia="仿宋_GB2312"/>
                <w:sz w:val="24"/>
              </w:rPr>
              <w:t>份平台规划方案）。</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381"/>
            </w:pPr>
            <w:r>
              <w:rPr>
                <w:rFonts w:ascii="仿宋_GB2312" w:hAnsi="仿宋_GB2312" w:cs="仿宋_GB2312" w:eastAsia="仿宋_GB2312"/>
                <w:sz w:val="24"/>
                <w:b/>
                <w:color w:val="000000"/>
              </w:rPr>
              <w:t>四、商务要求</w:t>
            </w:r>
          </w:p>
          <w:p>
            <w:pPr>
              <w:pStyle w:val="null3"/>
            </w:pPr>
            <w:r>
              <w:rPr>
                <w:rFonts w:ascii="仿宋_GB2312" w:hAnsi="仿宋_GB2312" w:cs="仿宋_GB2312" w:eastAsia="仿宋_GB2312"/>
                <w:sz w:val="24"/>
                <w:color w:val="000000"/>
              </w:rPr>
              <w:t xml:space="preserve">  1.服务期限</w:t>
            </w:r>
          </w:p>
          <w:p>
            <w:pPr>
              <w:pStyle w:val="null3"/>
            </w:pPr>
            <w:r>
              <w:rPr>
                <w:rFonts w:ascii="仿宋_GB2312" w:hAnsi="仿宋_GB2312" w:cs="仿宋_GB2312" w:eastAsia="仿宋_GB2312"/>
                <w:sz w:val="24"/>
                <w:color w:val="000000"/>
              </w:rPr>
              <w:t xml:space="preserve">  自合同签订之日起1年。</w:t>
            </w:r>
          </w:p>
          <w:p>
            <w:pPr>
              <w:pStyle w:val="null3"/>
            </w:pPr>
            <w:r>
              <w:rPr>
                <w:rFonts w:ascii="仿宋_GB2312" w:hAnsi="仿宋_GB2312" w:cs="仿宋_GB2312" w:eastAsia="仿宋_GB2312"/>
                <w:sz w:val="24"/>
                <w:color w:val="000000"/>
              </w:rPr>
              <w:t xml:space="preserve">  2.服务地点</w:t>
            </w:r>
          </w:p>
          <w:p>
            <w:pPr>
              <w:pStyle w:val="null3"/>
            </w:pPr>
            <w:r>
              <w:rPr>
                <w:rFonts w:ascii="仿宋_GB2312" w:hAnsi="仿宋_GB2312" w:cs="仿宋_GB2312" w:eastAsia="仿宋_GB2312"/>
                <w:sz w:val="24"/>
                <w:color w:val="000000"/>
              </w:rPr>
              <w:t xml:space="preserve">  西安市行政区域内，采购人指定地点。</w:t>
            </w:r>
          </w:p>
          <w:p>
            <w:pPr>
              <w:pStyle w:val="null3"/>
            </w:pPr>
            <w:r>
              <w:rPr>
                <w:rFonts w:ascii="仿宋_GB2312" w:hAnsi="仿宋_GB2312" w:cs="仿宋_GB2312" w:eastAsia="仿宋_GB2312"/>
                <w:sz w:val="24"/>
                <w:color w:val="000000"/>
              </w:rPr>
              <w:t xml:space="preserve">  3.验收标准</w:t>
            </w:r>
          </w:p>
          <w:p>
            <w:pPr>
              <w:pStyle w:val="null3"/>
            </w:pPr>
            <w:r>
              <w:rPr>
                <w:rFonts w:ascii="仿宋_GB2312" w:hAnsi="仿宋_GB2312" w:cs="仿宋_GB2312" w:eastAsia="仿宋_GB2312"/>
                <w:sz w:val="24"/>
                <w:color w:val="000000"/>
              </w:rPr>
              <w:t xml:space="preserve">  符合国家《生态产品总值核算规范（试行）》及陕西、西安本地生态特征，数据来源可靠，结果科学、可验证。</w:t>
            </w:r>
          </w:p>
          <w:p>
            <w:pPr>
              <w:pStyle w:val="null3"/>
            </w:pPr>
            <w:r>
              <w:rPr>
                <w:rFonts w:ascii="仿宋_GB2312" w:hAnsi="仿宋_GB2312" w:cs="仿宋_GB2312" w:eastAsia="仿宋_GB2312"/>
                <w:sz w:val="24"/>
                <w:color w:val="000000"/>
              </w:rPr>
              <w:t xml:space="preserve">  4.付款方式</w:t>
            </w:r>
          </w:p>
          <w:p>
            <w:pPr>
              <w:pStyle w:val="null3"/>
            </w:pPr>
            <w:r>
              <w:rPr>
                <w:rFonts w:ascii="仿宋_GB2312" w:hAnsi="仿宋_GB2312" w:cs="仿宋_GB2312" w:eastAsia="仿宋_GB2312"/>
                <w:sz w:val="24"/>
                <w:color w:val="000000"/>
              </w:rPr>
              <w:t xml:space="preserve">  本项目为固定总价合同，按照供应商服务进度进行分期付款。</w:t>
            </w:r>
          </w:p>
          <w:p>
            <w:pPr>
              <w:pStyle w:val="null3"/>
            </w:pPr>
            <w:r>
              <w:rPr>
                <w:rFonts w:ascii="仿宋_GB2312" w:hAnsi="仿宋_GB2312" w:cs="仿宋_GB2312" w:eastAsia="仿宋_GB2312"/>
                <w:sz w:val="24"/>
                <w:color w:val="000000"/>
              </w:rPr>
              <w:t xml:space="preserve">  5.款项结算</w:t>
            </w:r>
          </w:p>
          <w:p>
            <w:pPr>
              <w:pStyle w:val="null3"/>
            </w:pPr>
            <w:r>
              <w:rPr>
                <w:rFonts w:ascii="仿宋_GB2312" w:hAnsi="仿宋_GB2312" w:cs="仿宋_GB2312" w:eastAsia="仿宋_GB2312"/>
                <w:sz w:val="24"/>
                <w:color w:val="000000"/>
              </w:rPr>
              <w:t xml:space="preserve"> （1）合同签订后，15日内，支付合同总金额的30%。</w:t>
            </w:r>
          </w:p>
          <w:p>
            <w:pPr>
              <w:pStyle w:val="null3"/>
            </w:pPr>
            <w:r>
              <w:rPr>
                <w:rFonts w:ascii="仿宋_GB2312" w:hAnsi="仿宋_GB2312" w:cs="仿宋_GB2312" w:eastAsia="仿宋_GB2312"/>
                <w:sz w:val="24"/>
                <w:color w:val="000000"/>
              </w:rPr>
              <w:t xml:space="preserve"> （2）乙方完成服务内容包括（6份区县目录清单、6份核算报告、1份市级技术办法（试行）、1份平台规划方案）及其他相关材料后，经甲方验收合格后15日内，支付合同总金额的70%。</w:t>
            </w:r>
          </w:p>
          <w:p>
            <w:pPr>
              <w:pStyle w:val="null3"/>
            </w:pPr>
            <w:r>
              <w:rPr>
                <w:rFonts w:ascii="仿宋_GB2312" w:hAnsi="仿宋_GB2312" w:cs="仿宋_GB2312" w:eastAsia="仿宋_GB2312"/>
                <w:sz w:val="24"/>
                <w:color w:val="000000"/>
              </w:rPr>
              <w:t xml:space="preserve">  6.考核与履约要求</w:t>
            </w:r>
          </w:p>
          <w:p>
            <w:pPr>
              <w:pStyle w:val="null3"/>
            </w:pPr>
            <w:r>
              <w:rPr>
                <w:rFonts w:ascii="仿宋_GB2312" w:hAnsi="仿宋_GB2312" w:cs="仿宋_GB2312" w:eastAsia="仿宋_GB2312"/>
                <w:sz w:val="24"/>
                <w:color w:val="000000"/>
              </w:rPr>
              <w:t xml:space="preserve">  服务期间，采购人对供应商服务质量、工作进度、响应效率、进行常态化考核，若供应商未按要求履约、服务质量不达标、出现内容错误、逾期交付等问题，采购人有权要求限期整改，整改不到位的，有权依据合同约定追究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响应供应商应满足国家相关法律法规要求，配备具有相关专业的技术人员。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响应供应商需配备满足本项目服务所必需的设备和专业技术能力。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进度款，乙方完成服务内容包括（6份区县目录清单、6份核算报告、1份市级技术办法（试行）、1份平台规划方案）及其他相关材料后，经甲方验收合格后，达到付款条件起15个工作日内，支付合同总金额的70.0%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通过电子化交易系统磋商，供应商需在电子化交易系统上传响应的文件。成交供应商领取中标（成交）通知书时，向采购代理机构提供一正两副纸质响应文件及电子版1份（签字盖章扫描PDF和word文档格式，U盘存储）。 2.供应商应响应文件递交截止时间起至磋商结束，保持在线状态。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 “营业执照 ” 的复印件；（2）供应商是事业单位的， 应提供其有效的 “事业单位法人证书 ”复印件；（3）供应商是非企业专业服务机构的， 应提供其有效的 “执业许可证 ”复印件；（4）供应商是民办非企业单位的， 应提供其有效的登记证书复印件；（5）供应商是个体工商户的， 应提供其有效的 “营业执照 ”复印件；（6）供应商是自然人的， 应提供其有效的自然人身份证明复印件 。 2、提供可满足履行合同所需设备和专业技术能力的证明材料或承诺。 3、提供响应文件递交截止时间前六个月内至少一个月的纳税证明或完税证明， 依法免税的单位应提供相关证明材料；时间以税款所属时期为准。 4、提供响应文件递交截止时间前近六个月内至少一个月的社会保障资金缴存单据或社保机构开具的社会保险参保缴费情况证明， 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 《政府会计准则》的，财务报告是指上述指定年度整个会计年度财务报表（不要求必须是经审计的），复印件至少须包括资产负债表、收入费用表。④供应商适用《民间非营利组织会计制度》 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 应满足以下要求：①资信证明须为递交响应文件截止时间前三个月内由供应商开戶银行出具。②无论开具银行是否标明 “复印无效”，供应商提供的复印件在本次投标中予以认可 (即不因 “复印无效 ”字样而认定资信证明复印件无效）。③银行出具的存款证明不能替代银行资信证。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服务内容响应偏差表.pdf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服务方案说明书.pdf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服务方案说明书.pdf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供应商根据采购需求编制对本项目的理解及认识方案，内容包含：①项目背景分析、②项目基本情况及相关政策解读、③项目前期问题和薄弱环节、④项目重难点分析、⑤项目目标与定位的理解。 以上内容专门针对本项目且符合本项目实际需求的得10分，每缺一项内容扣2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结合西安市秦岭北麓六个试点区县地域特征、生态资源特点制定实施方案，内容包含：①制定完整的项目实施总体思路，结合项目具体特征，具有合理性、可操作性和前瞻性、②针对项目五大核心工作（生态摸底调研、区县生态产品目录清单编制、GEP核算、市级核算技术办法编制、全流程智能化平台规划）制定专项技术方案，方案内容科学成熟，符合项目服务要求、③总体构想及方案内容严格契合《生态产品总值核算规范（试行）》及陕西省、西安市地方生态核算标准与要求，技术路线科学、核算方法精准、参数选取合规、平台规划贴合本地生态价值转化及秦岭生态保护需求。 以上内容专门针对本项目且符合本项目实际需求的得9分，每缺一项内容扣3分，若上述内容存在瑕疵，每存在1处瑕疵扣1分，扣完为止。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项目的进度安排</w:t>
            </w:r>
          </w:p>
        </w:tc>
        <w:tc>
          <w:tcPr>
            <w:tcW w:type="dxa" w:w="2492"/>
          </w:tcPr>
          <w:p>
            <w:pPr>
              <w:pStyle w:val="null3"/>
            </w:pPr>
            <w:r>
              <w:rPr>
                <w:rFonts w:ascii="仿宋_GB2312" w:hAnsi="仿宋_GB2312" w:cs="仿宋_GB2312" w:eastAsia="仿宋_GB2312"/>
              </w:rPr>
              <w:t>供应商根据本项目采购需求编制针对性进度安排，是否能按照采购方要求在规定时间内完成编制成果的修改、调整、优化工作方案进行评审，内容包含：①进度保障措施、②各阶段时间节点、③各环节衔接工作的配合、④临时调整措施、⑤应急处理能力。 以上内容专门针对本项目且符合本项目实际需求的得10分，每缺一项内容扣2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供应商根据本项目采购需求编制针对性质量保证措施方案，有相应的保障细则，内容包含：①团队设置、②沟通机制、③进度控制、④质量控制、⑤及时响应等保障措施。 以上内容专门针对本项目且符合本项目实际需求的得5分，每缺一项内容扣1分，若上述内容存在瑕疵，每存在1处瑕疵扣0.5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供应商根据本项目采购需求编制针对性保密措施方案，有相应的保障细则，内容包含：①保密承诺事项、②保密实施方案、③保密工作规则要求。 以上内容专门针对本项目且符合本项目实际需求的得6分，每缺一项内容扣2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1.技术职称（3分）：拟派项目负责人具备生态环境或自然资源工程等相关专业高级职称的，得3分；具备中级职称的得1分，其余不得分。 2.工作经验（6分）：拟派项目负责人具有丰富的相关领域工作经验，曾担任过类似项目负责人的，每提供一份证明材料得2分，本项最多得6分。 （注：（1）提供项目负责人身份证、职称证等相关证明材料复印件并加盖单位公章。（2）项目负责人工作经验须提供中标/成交通知书或合同等能体现项目负责人信息的相关证明材料并加盖公章。）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根据供应商拟任本项目的人员配置情况进行评审： 1.项目配备实力（3分）：项目组成员中具有生态环境或自然资源工程等相关专业中级及以上职称的每提供1人得1分，本项最多得3分。 2.团队专业（4分）：团队人员具有生态学或环境工程或水土保持或大数据/信息化等相关核心专业，每提供一份证明材料得1分，本项最多得4分。 （注：（1）提供以上人员身份证、职称证等相关证明材料复印件并加盖单位公章。（2）两项分值独立核算、可同步得分。）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根据供应商拟配备本项目设备情况进行评审:配备与本项目相关的分析设备或监测设备或检测设备或辅助设备等，可保障本项目生态产品核算工作开展，每提供一份证明资料得2分，本项最多得8分。 （注：需提供设备购置发票或租赁合同等证明资料复印件。）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服务质量目标承诺（3分）：供应商提供针对本项目的服务质量管控标准、质量目标、质量验收、整改保障等专项承诺，承诺完整并加盖公章得3分，未提供或不完整不得分。 2.服务进度目标承诺（3分）：供应商提供针对本项目的服务服务期限节点、进度管控、进度保障、逾期补救措施等专项承诺，承诺完整并加盖公章得3分，未提供或不完整不得分。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提供2023年1月1日至响应文件递交截止之日类似项目中获得采购人满意度评价，提供用户单位满意度证明，每提供一份得2.5分，最多得10分。（注：一个用户单位算1份，评价情况至少为满意或优或类似好评的方可计分，提供证明材料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提供2023年1月1日至响应文件递交截止之日供应商完成的类似项目，每提供一份得2.5分，满分10分。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详见附件：服务内容响应偏差表.pdf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详见附件：西安市生态产品价值实现试点核算合同.docx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