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70C3E">
      <w:pPr>
        <w:rPr>
          <w:rFonts w:hint="eastAsia"/>
          <w:b/>
          <w:bCs/>
          <w:sz w:val="44"/>
          <w:szCs w:val="52"/>
        </w:rPr>
      </w:pPr>
    </w:p>
    <w:p w14:paraId="068702F2">
      <w:pPr>
        <w:rPr>
          <w:rFonts w:hint="eastAsia"/>
          <w:b/>
          <w:bCs/>
          <w:sz w:val="44"/>
          <w:szCs w:val="52"/>
        </w:rPr>
      </w:pPr>
    </w:p>
    <w:p w14:paraId="1E2FB5DA">
      <w:pPr>
        <w:jc w:val="center"/>
        <w:rPr>
          <w:rFonts w:hint="eastAsia" w:ascii="黑体" w:hAnsi="黑体" w:eastAsia="黑体" w:cs="黑体"/>
          <w:b/>
          <w:bCs/>
          <w:sz w:val="52"/>
          <w:szCs w:val="60"/>
        </w:rPr>
      </w:pPr>
      <w:r>
        <w:rPr>
          <w:rFonts w:hint="eastAsia" w:ascii="黑体" w:hAnsi="黑体" w:eastAsia="黑体" w:cs="黑体"/>
          <w:b/>
          <w:bCs/>
          <w:sz w:val="60"/>
          <w:szCs w:val="96"/>
        </w:rPr>
        <w:t>西安市生态产品价值实现试点核算</w:t>
      </w:r>
    </w:p>
    <w:p w14:paraId="3FFFE28D">
      <w:pPr>
        <w:rPr>
          <w:rFonts w:hint="eastAsia"/>
        </w:rPr>
      </w:pPr>
    </w:p>
    <w:p w14:paraId="4B504A56">
      <w:pPr>
        <w:rPr>
          <w:rFonts w:hint="eastAsia"/>
        </w:rPr>
      </w:pPr>
    </w:p>
    <w:p w14:paraId="312C0964">
      <w:pPr>
        <w:ind w:firstLine="1928" w:firstLineChars="200"/>
        <w:rPr>
          <w:rFonts w:hint="eastAsia"/>
          <w:b/>
          <w:bCs/>
          <w:sz w:val="96"/>
          <w:szCs w:val="144"/>
        </w:rPr>
      </w:pPr>
    </w:p>
    <w:p w14:paraId="207C297D">
      <w:pPr>
        <w:jc w:val="left"/>
        <w:rPr>
          <w:rFonts w:hint="eastAsia"/>
          <w:b/>
          <w:bCs/>
          <w:sz w:val="96"/>
          <w:szCs w:val="144"/>
        </w:rPr>
      </w:pPr>
    </w:p>
    <w:p w14:paraId="0E8FDF7A">
      <w:pPr>
        <w:jc w:val="center"/>
        <w:rPr>
          <w:rFonts w:hint="eastAsia" w:ascii="黑体" w:hAnsi="黑体" w:eastAsia="黑体" w:cs="黑体"/>
          <w:b/>
          <w:bCs/>
          <w:sz w:val="96"/>
          <w:szCs w:val="144"/>
        </w:rPr>
      </w:pPr>
      <w:r>
        <w:rPr>
          <w:rFonts w:hint="eastAsia" w:ascii="黑体" w:hAnsi="黑体" w:eastAsia="黑体" w:cs="黑体"/>
          <w:b/>
          <w:bCs/>
          <w:sz w:val="96"/>
          <w:szCs w:val="144"/>
        </w:rPr>
        <w:t>服</w:t>
      </w:r>
      <w:r>
        <w:rPr>
          <w:rFonts w:hint="eastAsia" w:ascii="黑体" w:hAnsi="黑体" w:eastAsia="黑体" w:cs="黑体"/>
          <w:b/>
          <w:bCs/>
          <w:sz w:val="96"/>
          <w:szCs w:val="144"/>
          <w:lang w:val="en-US" w:eastAsia="zh-CN"/>
        </w:rPr>
        <w:t xml:space="preserve"> </w:t>
      </w:r>
      <w:r>
        <w:rPr>
          <w:rFonts w:hint="eastAsia" w:ascii="黑体" w:hAnsi="黑体" w:eastAsia="黑体" w:cs="黑体"/>
          <w:b/>
          <w:bCs/>
          <w:sz w:val="96"/>
          <w:szCs w:val="144"/>
        </w:rPr>
        <w:t>务</w:t>
      </w:r>
      <w:r>
        <w:rPr>
          <w:rFonts w:hint="eastAsia" w:ascii="黑体" w:hAnsi="黑体" w:eastAsia="黑体" w:cs="黑体"/>
          <w:b/>
          <w:bCs/>
          <w:sz w:val="96"/>
          <w:szCs w:val="144"/>
          <w:lang w:val="en-US" w:eastAsia="zh-CN"/>
        </w:rPr>
        <w:t xml:space="preserve"> </w:t>
      </w:r>
      <w:r>
        <w:rPr>
          <w:rFonts w:hint="eastAsia" w:ascii="黑体" w:hAnsi="黑体" w:eastAsia="黑体" w:cs="黑体"/>
          <w:b/>
          <w:bCs/>
          <w:sz w:val="96"/>
          <w:szCs w:val="144"/>
        </w:rPr>
        <w:t>合</w:t>
      </w:r>
      <w:r>
        <w:rPr>
          <w:rFonts w:hint="eastAsia" w:ascii="黑体" w:hAnsi="黑体" w:eastAsia="黑体" w:cs="黑体"/>
          <w:b/>
          <w:bCs/>
          <w:sz w:val="96"/>
          <w:szCs w:val="144"/>
          <w:lang w:val="en-US" w:eastAsia="zh-CN"/>
        </w:rPr>
        <w:t xml:space="preserve"> </w:t>
      </w:r>
      <w:r>
        <w:rPr>
          <w:rFonts w:hint="eastAsia" w:ascii="黑体" w:hAnsi="黑体" w:eastAsia="黑体" w:cs="黑体"/>
          <w:b/>
          <w:bCs/>
          <w:sz w:val="96"/>
          <w:szCs w:val="144"/>
        </w:rPr>
        <w:t>同</w:t>
      </w:r>
    </w:p>
    <w:p w14:paraId="0011375A">
      <w:pPr>
        <w:rPr>
          <w:rFonts w:hint="eastAsia"/>
        </w:rPr>
      </w:pPr>
    </w:p>
    <w:p w14:paraId="28FD62FC">
      <w:pPr>
        <w:rPr>
          <w:rFonts w:hint="eastAsia"/>
        </w:rPr>
      </w:pPr>
    </w:p>
    <w:p w14:paraId="517E2DF9">
      <w:pPr>
        <w:rPr>
          <w:rFonts w:hint="eastAsia"/>
        </w:rPr>
      </w:pPr>
    </w:p>
    <w:p w14:paraId="3DC7B01D">
      <w:pPr>
        <w:rPr>
          <w:rFonts w:hint="eastAsia"/>
        </w:rPr>
      </w:pPr>
    </w:p>
    <w:p w14:paraId="07FE2D5A">
      <w:pPr>
        <w:rPr>
          <w:rFonts w:hint="eastAsia"/>
        </w:rPr>
      </w:pPr>
    </w:p>
    <w:p w14:paraId="660B9937">
      <w:pPr>
        <w:rPr>
          <w:rFonts w:hint="eastAsia" w:ascii="黑体" w:hAnsi="黑体" w:eastAsia="黑体" w:cs="黑体"/>
          <w:snapToGrid w:val="0"/>
          <w:color w:val="000000"/>
          <w:spacing w:val="1"/>
          <w:kern w:val="0"/>
          <w:sz w:val="32"/>
          <w:szCs w:val="32"/>
          <w:lang w:val="en-US" w:eastAsia="en-US" w:bidi="ar-SA"/>
        </w:rPr>
      </w:pPr>
    </w:p>
    <w:p w14:paraId="31790BCE">
      <w:pPr>
        <w:rPr>
          <w:rFonts w:hint="eastAsia" w:ascii="黑体" w:hAnsi="黑体" w:eastAsia="黑体" w:cs="黑体"/>
          <w:snapToGrid w:val="0"/>
          <w:color w:val="000000"/>
          <w:spacing w:val="1"/>
          <w:kern w:val="0"/>
          <w:sz w:val="32"/>
          <w:szCs w:val="32"/>
          <w:lang w:val="en-US" w:eastAsia="en-US" w:bidi="ar-SA"/>
        </w:rPr>
      </w:pPr>
    </w:p>
    <w:p w14:paraId="3169423C">
      <w:pPr>
        <w:rPr>
          <w:rFonts w:hint="eastAsia" w:ascii="黑体" w:hAnsi="黑体" w:eastAsia="黑体" w:cs="黑体"/>
          <w:snapToGrid w:val="0"/>
          <w:color w:val="000000"/>
          <w:spacing w:val="1"/>
          <w:kern w:val="0"/>
          <w:sz w:val="32"/>
          <w:szCs w:val="32"/>
          <w:lang w:val="en-US" w:eastAsia="en-US" w:bidi="ar-SA"/>
        </w:rPr>
      </w:pPr>
    </w:p>
    <w:p w14:paraId="67C83A92">
      <w:pPr>
        <w:rPr>
          <w:rFonts w:hint="eastAsia" w:ascii="黑体" w:hAnsi="黑体" w:eastAsia="黑体" w:cs="黑体"/>
          <w:snapToGrid w:val="0"/>
          <w:color w:val="000000"/>
          <w:spacing w:val="1"/>
          <w:kern w:val="0"/>
          <w:sz w:val="32"/>
          <w:szCs w:val="32"/>
          <w:lang w:val="en-US" w:eastAsia="en-US" w:bidi="ar-SA"/>
        </w:rPr>
      </w:pPr>
    </w:p>
    <w:p w14:paraId="3ACCE2A6">
      <w:pPr>
        <w:rPr>
          <w:rFonts w:hint="eastAsia" w:ascii="黑体" w:hAnsi="黑体" w:eastAsia="黑体" w:cs="黑体"/>
          <w:snapToGrid w:val="0"/>
          <w:color w:val="000000"/>
          <w:spacing w:val="1"/>
          <w:kern w:val="0"/>
          <w:sz w:val="32"/>
          <w:szCs w:val="32"/>
          <w:lang w:val="en-US" w:eastAsia="en-US" w:bidi="ar-SA"/>
        </w:rPr>
      </w:pPr>
    </w:p>
    <w:p w14:paraId="4FDAB4FC">
      <w:pPr>
        <w:rPr>
          <w:rFonts w:hint="eastAsia" w:ascii="黑体" w:hAnsi="黑体" w:eastAsia="黑体" w:cs="黑体"/>
          <w:snapToGrid w:val="0"/>
          <w:color w:val="000000"/>
          <w:spacing w:val="1"/>
          <w:kern w:val="0"/>
          <w:sz w:val="32"/>
          <w:szCs w:val="32"/>
          <w:lang w:val="en-US" w:eastAsia="en-US" w:bidi="ar-SA"/>
        </w:rPr>
      </w:pPr>
    </w:p>
    <w:p w14:paraId="37AA8370">
      <w:pPr>
        <w:spacing w:line="360" w:lineRule="auto"/>
        <w:jc w:val="center"/>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zh-CN" w:bidi="ar-SA"/>
        </w:rPr>
        <w:t>甲</w:t>
      </w:r>
      <w:r>
        <w:rPr>
          <w:rFonts w:hint="eastAsia" w:ascii="黑体" w:hAnsi="黑体" w:eastAsia="黑体" w:cs="黑体"/>
          <w:snapToGrid w:val="0"/>
          <w:color w:val="000000"/>
          <w:spacing w:val="1"/>
          <w:kern w:val="0"/>
          <w:sz w:val="32"/>
          <w:szCs w:val="32"/>
          <w:lang w:val="en-US" w:eastAsia="en-US" w:bidi="ar-SA"/>
        </w:rPr>
        <w:t>方：西安市发展和改革委员会</w:t>
      </w:r>
    </w:p>
    <w:p w14:paraId="35269480">
      <w:pPr>
        <w:spacing w:line="360" w:lineRule="auto"/>
        <w:ind w:firstLine="2254" w:firstLineChars="700"/>
        <w:jc w:val="both"/>
        <w:rPr>
          <w:rFonts w:hint="eastAsia" w:ascii="黑体" w:hAnsi="黑体" w:eastAsia="黑体" w:cs="黑体"/>
          <w:snapToGrid w:val="0"/>
          <w:color w:val="000000"/>
          <w:spacing w:val="1"/>
          <w:kern w:val="0"/>
          <w:sz w:val="32"/>
          <w:szCs w:val="32"/>
          <w:lang w:val="en-US" w:eastAsia="en-US" w:bidi="ar-SA"/>
        </w:rPr>
      </w:pPr>
      <w:r>
        <w:rPr>
          <w:rFonts w:hint="eastAsia" w:ascii="黑体" w:hAnsi="黑体" w:eastAsia="黑体" w:cs="黑体"/>
          <w:snapToGrid w:val="0"/>
          <w:color w:val="000000"/>
          <w:spacing w:val="1"/>
          <w:kern w:val="0"/>
          <w:sz w:val="32"/>
          <w:szCs w:val="32"/>
          <w:lang w:val="en-US" w:eastAsia="zh-CN" w:bidi="ar-SA"/>
        </w:rPr>
        <w:t>乙</w:t>
      </w:r>
      <w:r>
        <w:rPr>
          <w:rFonts w:hint="eastAsia" w:ascii="黑体" w:hAnsi="黑体" w:eastAsia="黑体" w:cs="黑体"/>
          <w:snapToGrid w:val="0"/>
          <w:color w:val="000000"/>
          <w:spacing w:val="1"/>
          <w:kern w:val="0"/>
          <w:sz w:val="32"/>
          <w:szCs w:val="32"/>
          <w:lang w:val="en-US" w:eastAsia="en-US" w:bidi="ar-SA"/>
        </w:rPr>
        <w:t>方：</w:t>
      </w:r>
    </w:p>
    <w:p w14:paraId="3FEF1F59">
      <w:pPr>
        <w:rPr>
          <w:rFonts w:hint="eastAsia"/>
        </w:rPr>
      </w:pPr>
    </w:p>
    <w:p w14:paraId="168E4ACC">
      <w:pPr>
        <w:pStyle w:val="2"/>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spacing w:val="-9"/>
        </w:rPr>
      </w:pPr>
      <w:r>
        <w:rPr>
          <w:spacing w:val="-9"/>
        </w:rPr>
        <w:t>2026年</w:t>
      </w:r>
      <w:r>
        <w:rPr>
          <w:rFonts w:hint="eastAsia"/>
          <w:spacing w:val="-9"/>
          <w:lang w:val="en-US" w:eastAsia="zh-CN"/>
        </w:rPr>
        <w:t>6</w:t>
      </w:r>
      <w:r>
        <w:rPr>
          <w:spacing w:val="-9"/>
        </w:rPr>
        <w:t>月</w:t>
      </w:r>
    </w:p>
    <w:p w14:paraId="3C52C5C9">
      <w:pPr>
        <w:pStyle w:val="2"/>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spacing w:val="-9"/>
        </w:rPr>
      </w:pPr>
      <w:r>
        <w:rPr>
          <w:spacing w:val="-9"/>
        </w:rPr>
        <w:t>中国</w:t>
      </w:r>
      <w:r>
        <w:rPr>
          <w:rFonts w:hint="eastAsia"/>
          <w:spacing w:val="-9"/>
          <w:lang w:val="en-US" w:eastAsia="zh-CN"/>
        </w:rPr>
        <w:t xml:space="preserve">  </w:t>
      </w:r>
      <w:r>
        <w:rPr>
          <w:spacing w:val="-9"/>
        </w:rPr>
        <w:t>西安</w:t>
      </w:r>
    </w:p>
    <w:p w14:paraId="5B40127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sectPr>
          <w:headerReference r:id="rId3" w:type="default"/>
          <w:footerReference r:id="rId4" w:type="default"/>
          <w:pgSz w:w="11900" w:h="16830"/>
          <w:pgMar w:top="1417" w:right="1417" w:bottom="1417" w:left="1417" w:header="0" w:footer="1143" w:gutter="0"/>
          <w:pgNumType w:fmt="decimal"/>
          <w:cols w:space="720" w:num="1"/>
        </w:sectPr>
      </w:pPr>
    </w:p>
    <w:p w14:paraId="03C276F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sz w:val="24"/>
          <w:szCs w:val="24"/>
          <w:u w:val="single"/>
        </w:rPr>
      </w:pPr>
      <w:r>
        <w:rPr>
          <w:rFonts w:hint="eastAsia" w:ascii="宋体" w:hAnsi="宋体" w:eastAsia="宋体" w:cs="宋体"/>
          <w:b/>
          <w:bCs/>
          <w:sz w:val="24"/>
          <w:szCs w:val="24"/>
        </w:rPr>
        <w:t>甲方</w:t>
      </w:r>
      <w:r>
        <w:rPr>
          <w:rFonts w:hint="eastAsia" w:ascii="宋体" w:hAnsi="宋体" w:eastAsia="宋体" w:cs="宋体"/>
          <w:sz w:val="24"/>
          <w:szCs w:val="24"/>
        </w:rPr>
        <w:t>：</w:t>
      </w:r>
      <w:r>
        <w:rPr>
          <w:rFonts w:hint="eastAsia" w:ascii="宋体" w:hAnsi="宋体" w:eastAsia="宋体" w:cs="宋体"/>
          <w:sz w:val="24"/>
          <w:szCs w:val="24"/>
          <w:u w:val="single"/>
        </w:rPr>
        <w:t>西安市发展和改革委员会</w:t>
      </w:r>
    </w:p>
    <w:p w14:paraId="1EF0282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sz w:val="24"/>
          <w:szCs w:val="24"/>
          <w:u w:val="single"/>
          <w:lang w:val="en-US" w:eastAsia="zh-CN"/>
        </w:rPr>
      </w:pPr>
      <w:r>
        <w:rPr>
          <w:rFonts w:hint="eastAsia" w:ascii="宋体" w:hAnsi="宋体" w:eastAsia="宋体" w:cs="宋体"/>
          <w:b/>
          <w:bCs/>
          <w:sz w:val="24"/>
          <w:szCs w:val="24"/>
        </w:rPr>
        <w:t>乙方</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1C87C4A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1A77C44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依据《中华人民共和国民法典》《中华人民共和国政府采购法》等法律法规，本项目由甲方</w:t>
      </w:r>
      <w:r>
        <w:rPr>
          <w:rFonts w:hint="eastAsia" w:ascii="宋体" w:hAnsi="宋体" w:eastAsia="宋体" w:cs="宋体"/>
          <w:sz w:val="24"/>
          <w:szCs w:val="24"/>
          <w:u w:val="single"/>
        </w:rPr>
        <w:t>（西安市发展和改革委员会）</w:t>
      </w:r>
      <w:r>
        <w:rPr>
          <w:rFonts w:hint="eastAsia" w:ascii="宋体" w:hAnsi="宋体" w:eastAsia="宋体" w:cs="宋体"/>
          <w:sz w:val="24"/>
          <w:szCs w:val="24"/>
        </w:rPr>
        <w:t>以竞争性磋商方式组织采购，经评审确定乙</w:t>
      </w:r>
      <w:r>
        <w:rPr>
          <w:rFonts w:hint="eastAsia" w:ascii="宋体" w:hAnsi="宋体" w:eastAsia="宋体" w:cs="宋体"/>
          <w:sz w:val="24"/>
          <w:szCs w:val="24"/>
        </w:rPr>
        <w:br w:type="textWrapping"/>
      </w:r>
      <w:r>
        <w:rPr>
          <w:rFonts w:hint="eastAsia" w:ascii="宋体" w:hAnsi="宋体" w:eastAsia="宋体" w:cs="宋体"/>
          <w:sz w:val="24"/>
          <w:szCs w:val="24"/>
        </w:rPr>
        <w:t>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为本项目成交供应商。甲乙双方遵循平等自愿、诚实信用、权责对等原则，结合本项目采购需求文件、乙方响应文件及全部承诺，订立本合同，双方共同遵照执行。</w:t>
      </w:r>
    </w:p>
    <w:p w14:paraId="02FE4DF0">
      <w:pPr>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ascii="宋体" w:hAnsi="宋体" w:eastAsia="宋体" w:cs="宋体"/>
          <w:sz w:val="24"/>
          <w:szCs w:val="24"/>
        </w:rPr>
      </w:pPr>
      <w:r>
        <w:rPr>
          <w:rFonts w:ascii="宋体" w:hAnsi="宋体" w:eastAsia="宋体" w:cs="宋体"/>
          <w:spacing w:val="-9"/>
          <w:sz w:val="24"/>
          <w:szCs w:val="24"/>
        </w:rPr>
        <w:t>一、</w:t>
      </w:r>
      <w:r>
        <w:rPr>
          <w:rFonts w:ascii="宋体" w:hAnsi="宋体" w:eastAsia="宋体" w:cs="宋体"/>
          <w:b/>
          <w:bCs/>
          <w:spacing w:val="-9"/>
          <w:sz w:val="24"/>
          <w:szCs w:val="24"/>
        </w:rPr>
        <w:t>项目名称、标的</w:t>
      </w:r>
      <w:r>
        <w:rPr>
          <w:rFonts w:hint="eastAsia" w:ascii="宋体" w:hAnsi="宋体" w:eastAsia="宋体" w:cs="宋体"/>
          <w:b/>
          <w:bCs/>
          <w:spacing w:val="0"/>
          <w:sz w:val="24"/>
          <w:szCs w:val="24"/>
          <w:lang w:val="en-US" w:eastAsia="zh-CN"/>
        </w:rPr>
        <w:t>概况</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服务内容</w:t>
      </w:r>
      <w:r>
        <w:rPr>
          <w:rFonts w:ascii="宋体" w:hAnsi="宋体" w:eastAsia="宋体" w:cs="宋体"/>
          <w:b/>
          <w:bCs/>
          <w:spacing w:val="-9"/>
          <w:sz w:val="24"/>
          <w:szCs w:val="24"/>
        </w:rPr>
        <w:t>和要求</w:t>
      </w:r>
    </w:p>
    <w:p w14:paraId="676032DE">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(一)项目名称</w:t>
      </w:r>
    </w:p>
    <w:p w14:paraId="3CF3CF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rPr>
        <w:t>西安市生态产品价值实现试点核算</w:t>
      </w:r>
    </w:p>
    <w:p w14:paraId="492E7E78">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pacing w:val="0"/>
          <w:sz w:val="24"/>
          <w:szCs w:val="24"/>
          <w:lang w:eastAsia="zh-CN"/>
        </w:rPr>
      </w:pPr>
      <w:r>
        <w:rPr>
          <w:rFonts w:hint="eastAsia" w:ascii="宋体" w:hAnsi="宋体" w:eastAsia="宋体" w:cs="宋体"/>
          <w:b/>
          <w:bCs/>
          <w:spacing w:val="0"/>
          <w:sz w:val="24"/>
          <w:szCs w:val="24"/>
        </w:rPr>
        <w:t>(二)标的</w:t>
      </w:r>
      <w:r>
        <w:rPr>
          <w:rFonts w:hint="eastAsia" w:ascii="宋体" w:hAnsi="宋体" w:eastAsia="宋体" w:cs="宋体"/>
          <w:b/>
          <w:bCs/>
          <w:spacing w:val="0"/>
          <w:sz w:val="24"/>
          <w:szCs w:val="24"/>
          <w:lang w:val="en-US" w:eastAsia="zh-CN"/>
        </w:rPr>
        <w:t>概况</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服务内容</w:t>
      </w:r>
    </w:p>
    <w:p w14:paraId="0B71DEA1">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auto"/>
        <w:rPr>
          <w:rFonts w:hint="eastAsia" w:ascii="宋体" w:hAnsi="宋体" w:eastAsia="宋体" w:cs="宋体"/>
          <w:spacing w:val="0"/>
          <w:sz w:val="24"/>
          <w:szCs w:val="24"/>
        </w:rPr>
      </w:pPr>
      <w:r>
        <w:rPr>
          <w:rFonts w:hint="eastAsia" w:ascii="宋体" w:hAnsi="宋体" w:eastAsia="宋体" w:cs="宋体"/>
          <w:spacing w:val="0"/>
          <w:sz w:val="24"/>
          <w:szCs w:val="24"/>
          <w:u w:val="single" w:color="auto"/>
          <w:lang w:val="en-US" w:eastAsia="zh-CN"/>
        </w:rPr>
        <w:t>概况</w:t>
      </w:r>
      <w:r>
        <w:rPr>
          <w:rFonts w:hint="eastAsia" w:ascii="宋体" w:hAnsi="宋体" w:eastAsia="宋体" w:cs="宋体"/>
          <w:spacing w:val="0"/>
          <w:sz w:val="24"/>
          <w:szCs w:val="24"/>
          <w:u w:val="single" w:color="auto"/>
        </w:rPr>
        <w:t>：本项目为西安市生态产品价值实现试点核算，拟以秦岭北麓沿山临潼区、灞桥区、蓝田县、长安区、鄠邑区、周至县六个区县为试点区域，全面摸清试点区域生态产品数量、分布、权益归属等基础信息，系统开展生态产品总值（GEP）核算，编制六个试点区县《生态产品目录清单》《生态产品价值核算报告》，制定市级《生态产品价值核算技术办法（试行）》，构建标准化核算体系，探索具有西安本土特色的生态产品价值实现路径，编制生态产品价值实现全流程智能化服务平台规划方案，为全市生态产品价值实现工作提供可复制、可推广的实践经验。</w:t>
      </w:r>
    </w:p>
    <w:p w14:paraId="1CB83FB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lang w:val="en-US" w:eastAsia="zh-CN"/>
        </w:rPr>
        <w:t>服务内容</w:t>
      </w:r>
      <w:r>
        <w:rPr>
          <w:rFonts w:hint="eastAsia" w:ascii="宋体" w:hAnsi="宋体" w:eastAsia="宋体" w:cs="宋体"/>
          <w:spacing w:val="0"/>
          <w:sz w:val="24"/>
          <w:szCs w:val="24"/>
          <w:u w:val="single" w:color="auto"/>
        </w:rPr>
        <w:t>：1. 选取6个代表性试点区县（建议：周至县、蓝田县、鄠邑区、长安区、临潼区、灞桥区），梳理生态产品种类，明晰数量、分布、权益归属等，编制6个区县《生态产品目录清单》及市级汇总清单。</w:t>
      </w:r>
    </w:p>
    <w:p w14:paraId="637206F5">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rPr>
        <w:t>2.收集整理分析6个试点区县生态产品相关数据，结合实地调研结果，开展生态产品价值（GEP）核算，编制6个区县《生态产品价值核算报告》。</w:t>
      </w:r>
    </w:p>
    <w:p w14:paraId="2881CD6B">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rPr>
        <w:t>3.制定市级《生态产品价值核算技术办法（试行）》，提供标准化核算支持。</w:t>
      </w:r>
    </w:p>
    <w:p w14:paraId="13FD62E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pacing w:val="0"/>
          <w:sz w:val="24"/>
          <w:szCs w:val="24"/>
          <w:u w:val="single" w:color="auto"/>
        </w:rPr>
      </w:pPr>
      <w:r>
        <w:rPr>
          <w:rFonts w:hint="eastAsia" w:ascii="宋体" w:hAnsi="宋体" w:eastAsia="宋体" w:cs="宋体"/>
          <w:spacing w:val="0"/>
          <w:sz w:val="24"/>
          <w:szCs w:val="24"/>
          <w:u w:val="single" w:color="auto"/>
        </w:rPr>
        <w:t>4.探索本土生态产品价值实现机制，研究覆盖调查监测、确权登记、核算评估、供需中介、咨询服务、交易监管的全流程智能化服务平台，编制规划方案。</w:t>
      </w:r>
    </w:p>
    <w:p w14:paraId="067C45F3">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二、服务期限</w:t>
      </w:r>
      <w:r>
        <w:rPr>
          <w:rFonts w:hint="eastAsia" w:ascii="宋体" w:hAnsi="宋体" w:eastAsia="宋体" w:cs="宋体"/>
          <w:b/>
          <w:bCs/>
          <w:spacing w:val="0"/>
          <w:sz w:val="24"/>
          <w:szCs w:val="24"/>
          <w:lang w:eastAsia="zh-CN"/>
        </w:rPr>
        <w:t>、</w:t>
      </w:r>
      <w:r>
        <w:rPr>
          <w:rFonts w:hint="eastAsia" w:ascii="宋体" w:hAnsi="宋体" w:eastAsia="宋体" w:cs="宋体"/>
          <w:b/>
          <w:bCs/>
          <w:spacing w:val="0"/>
          <w:sz w:val="24"/>
          <w:szCs w:val="24"/>
        </w:rPr>
        <w:t>交付成果及服务要求</w:t>
      </w:r>
    </w:p>
    <w:p w14:paraId="2F59D38E">
      <w:pPr>
        <w:keepNext w:val="0"/>
        <w:keepLines w:val="0"/>
        <w:pageBreakBefore w:val="0"/>
        <w:widowControl w:val="0"/>
        <w:kinsoku/>
        <w:wordWrap/>
        <w:overflowPunct/>
        <w:topLinePunct w:val="0"/>
        <w:autoSpaceDE/>
        <w:autoSpaceDN/>
        <w:bidi w:val="0"/>
        <w:adjustRightInd w:val="0"/>
        <w:snapToGrid w:val="0"/>
        <w:spacing w:line="360" w:lineRule="auto"/>
        <w:ind w:left="63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一</w:t>
      </w:r>
      <w:r>
        <w:rPr>
          <w:rFonts w:hint="eastAsia" w:ascii="宋体" w:hAnsi="宋体" w:eastAsia="宋体" w:cs="宋体"/>
          <w:b/>
          <w:bCs/>
          <w:spacing w:val="0"/>
          <w:sz w:val="24"/>
          <w:szCs w:val="24"/>
        </w:rPr>
        <w:t>)服务期限</w:t>
      </w:r>
    </w:p>
    <w:p w14:paraId="202C60B6">
      <w:pPr>
        <w:keepNext w:val="0"/>
        <w:keepLines w:val="0"/>
        <w:pageBreakBefore w:val="0"/>
        <w:widowControl w:val="0"/>
        <w:kinsoku/>
        <w:wordWrap/>
        <w:overflowPunct/>
        <w:topLinePunct w:val="0"/>
        <w:autoSpaceDE/>
        <w:autoSpaceDN/>
        <w:bidi w:val="0"/>
        <w:adjustRightInd w:val="0"/>
        <w:snapToGrid w:val="0"/>
        <w:spacing w:line="360" w:lineRule="auto"/>
        <w:ind w:left="490"/>
        <w:textAlignment w:val="auto"/>
        <w:rPr>
          <w:rFonts w:hint="eastAsia" w:ascii="宋体" w:hAnsi="宋体" w:eastAsia="宋体" w:cs="宋体"/>
          <w:spacing w:val="0"/>
          <w:sz w:val="24"/>
          <w:szCs w:val="24"/>
          <w:u w:val="single" w:color="auto"/>
          <w:lang w:eastAsia="zh-CN"/>
        </w:rPr>
      </w:pPr>
      <w:r>
        <w:rPr>
          <w:rFonts w:hint="eastAsia" w:ascii="宋体" w:hAnsi="宋体" w:eastAsia="宋体" w:cs="宋体"/>
          <w:spacing w:val="0"/>
          <w:sz w:val="24"/>
          <w:szCs w:val="24"/>
          <w:u w:val="single" w:color="auto"/>
        </w:rPr>
        <w:t>自合同签订之日起1年</w:t>
      </w:r>
      <w:r>
        <w:rPr>
          <w:rFonts w:hint="eastAsia" w:ascii="宋体" w:hAnsi="宋体" w:eastAsia="宋体" w:cs="宋体"/>
          <w:spacing w:val="0"/>
          <w:sz w:val="24"/>
          <w:szCs w:val="24"/>
          <w:u w:val="single" w:color="auto"/>
          <w:lang w:eastAsia="zh-CN"/>
        </w:rPr>
        <w:t>。</w:t>
      </w:r>
    </w:p>
    <w:p w14:paraId="446A039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90" w:leftChars="0"/>
        <w:textAlignment w:val="auto"/>
        <w:rPr>
          <w:rFonts w:hint="eastAsia" w:ascii="宋体" w:hAnsi="宋体" w:eastAsia="宋体" w:cs="宋体"/>
          <w:b/>
          <w:bCs/>
          <w:spacing w:val="0"/>
          <w:sz w:val="24"/>
          <w:szCs w:val="24"/>
        </w:rPr>
      </w:pPr>
      <w:r>
        <w:rPr>
          <w:rFonts w:hint="eastAsia" w:ascii="宋体" w:hAnsi="宋体" w:eastAsia="宋体" w:cs="宋体"/>
          <w:b/>
          <w:bCs/>
          <w:spacing w:val="0"/>
          <w:kern w:val="2"/>
          <w:sz w:val="24"/>
          <w:szCs w:val="24"/>
          <w:lang w:val="en-US" w:eastAsia="zh-CN" w:bidi="ar-SA"/>
        </w:rPr>
        <w:t>（二）</w:t>
      </w:r>
      <w:r>
        <w:rPr>
          <w:rFonts w:hint="eastAsia" w:ascii="宋体" w:hAnsi="宋体" w:eastAsia="宋体" w:cs="宋体"/>
          <w:b/>
          <w:bCs/>
          <w:spacing w:val="0"/>
          <w:sz w:val="24"/>
          <w:szCs w:val="24"/>
        </w:rPr>
        <w:t>交付成果</w:t>
      </w:r>
    </w:p>
    <w:p w14:paraId="45FE1F09">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pacing w:val="0"/>
          <w:kern w:val="2"/>
          <w:sz w:val="24"/>
          <w:szCs w:val="24"/>
          <w:u w:val="single" w:color="auto"/>
          <w:lang w:val="en-US" w:eastAsia="zh-CN" w:bidi="ar-SA"/>
        </w:rPr>
      </w:pPr>
      <w:r>
        <w:rPr>
          <w:rFonts w:hint="eastAsia" w:ascii="宋体" w:hAnsi="宋体" w:eastAsia="宋体" w:cs="宋体"/>
          <w:spacing w:val="0"/>
          <w:kern w:val="2"/>
          <w:sz w:val="24"/>
          <w:szCs w:val="24"/>
          <w:u w:val="single" w:color="auto"/>
          <w:lang w:val="en-US" w:eastAsia="zh-CN" w:bidi="ar-SA"/>
        </w:rPr>
        <w:t>1.完成西安市生态产品价值实现试点核算（6份区县目录清单、6份核算报告、1份市级技术办法（试行）、1份平台规划方案）。</w:t>
      </w:r>
    </w:p>
    <w:p w14:paraId="5333BEB0">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zh-CN" w:bidi="ar-SA"/>
        </w:rPr>
        <w:t>2</w:t>
      </w:r>
      <w:r>
        <w:rPr>
          <w:rFonts w:hint="eastAsia" w:ascii="宋体" w:hAnsi="宋体" w:eastAsia="宋体" w:cs="宋体"/>
          <w:spacing w:val="0"/>
          <w:kern w:val="2"/>
          <w:sz w:val="24"/>
          <w:szCs w:val="24"/>
          <w:u w:val="single" w:color="auto"/>
          <w:lang w:val="en-US" w:eastAsia="en-US" w:bidi="ar-SA"/>
        </w:rPr>
        <w:t>.纸质报告(一式</w:t>
      </w:r>
      <w:r>
        <w:rPr>
          <w:rFonts w:hint="eastAsia" w:ascii="宋体" w:hAnsi="宋体" w:eastAsia="宋体" w:cs="宋体"/>
          <w:spacing w:val="0"/>
          <w:kern w:val="2"/>
          <w:sz w:val="24"/>
          <w:szCs w:val="24"/>
          <w:u w:val="single" w:color="auto"/>
          <w:lang w:val="en-US" w:eastAsia="zh-CN" w:bidi="ar-SA"/>
        </w:rPr>
        <w:t xml:space="preserve">   </w:t>
      </w:r>
      <w:r>
        <w:rPr>
          <w:rFonts w:hint="eastAsia" w:ascii="宋体" w:hAnsi="宋体" w:eastAsia="宋体" w:cs="宋体"/>
          <w:spacing w:val="0"/>
          <w:kern w:val="2"/>
          <w:sz w:val="24"/>
          <w:szCs w:val="24"/>
          <w:u w:val="single" w:color="auto"/>
          <w:lang w:val="en-US" w:eastAsia="en-US" w:bidi="ar-SA"/>
        </w:rPr>
        <w:t>份)必须清晰完整。</w:t>
      </w:r>
    </w:p>
    <w:p w14:paraId="5B88838B">
      <w:pPr>
        <w:ind w:firstLine="480" w:firstLineChars="200"/>
        <w:rPr>
          <w:rFonts w:hint="default"/>
          <w:lang w:val="en-US" w:eastAsia="zh-CN"/>
        </w:rPr>
      </w:pPr>
      <w:r>
        <w:rPr>
          <w:rFonts w:hint="eastAsia" w:ascii="宋体" w:hAnsi="宋体" w:eastAsia="宋体" w:cs="宋体"/>
          <w:spacing w:val="0"/>
          <w:kern w:val="2"/>
          <w:sz w:val="24"/>
          <w:szCs w:val="24"/>
          <w:u w:val="single" w:color="auto"/>
          <w:lang w:val="en-US" w:eastAsia="zh-CN" w:bidi="ar-SA"/>
        </w:rPr>
        <w:t>3</w:t>
      </w:r>
      <w:r>
        <w:rPr>
          <w:rFonts w:hint="eastAsia" w:ascii="宋体" w:hAnsi="宋体" w:eastAsia="宋体" w:cs="宋体"/>
          <w:spacing w:val="0"/>
          <w:kern w:val="2"/>
          <w:sz w:val="24"/>
          <w:szCs w:val="24"/>
          <w:u w:val="single" w:color="auto"/>
          <w:lang w:val="en-US" w:eastAsia="en-US" w:bidi="ar-SA"/>
        </w:rPr>
        <w:t>.报告成果所使用的文字必须为简体中文</w:t>
      </w:r>
    </w:p>
    <w:p w14:paraId="6DC98963">
      <w:pPr>
        <w:numPr>
          <w:ilvl w:val="0"/>
          <w:numId w:val="0"/>
        </w:numPr>
        <w:spacing w:before="161" w:line="360" w:lineRule="auto"/>
        <w:ind w:left="490" w:leftChars="0"/>
        <w:rPr>
          <w:rFonts w:hint="eastAsia" w:ascii="宋体" w:hAnsi="宋体" w:eastAsia="宋体" w:cs="宋体"/>
          <w:b/>
          <w:bCs/>
          <w:spacing w:val="0"/>
          <w:sz w:val="24"/>
          <w:szCs w:val="24"/>
        </w:rPr>
      </w:pPr>
      <w:r>
        <w:rPr>
          <w:rFonts w:hint="eastAsia" w:ascii="宋体" w:hAnsi="宋体" w:eastAsia="宋体" w:cs="宋体"/>
          <w:b/>
          <w:bCs/>
          <w:spacing w:val="0"/>
          <w:kern w:val="2"/>
          <w:sz w:val="24"/>
          <w:szCs w:val="24"/>
          <w:lang w:val="en-US" w:eastAsia="zh-CN" w:bidi="ar-SA"/>
        </w:rPr>
        <w:t>（三）</w:t>
      </w:r>
      <w:r>
        <w:rPr>
          <w:rFonts w:hint="eastAsia" w:ascii="宋体" w:hAnsi="宋体" w:eastAsia="宋体" w:cs="宋体"/>
          <w:b/>
          <w:bCs/>
          <w:spacing w:val="0"/>
          <w:sz w:val="24"/>
          <w:szCs w:val="24"/>
        </w:rPr>
        <w:t>服务要求</w:t>
      </w:r>
    </w:p>
    <w:p w14:paraId="6A0FE614">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1.人员配置要求</w:t>
      </w:r>
    </w:p>
    <w:p w14:paraId="188FD93A">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响应供应商应满足国家相关法律法规要求，配备具有相关专业的技术人员。</w:t>
      </w:r>
    </w:p>
    <w:p w14:paraId="20FE6AE6">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2.专业设备要求</w:t>
      </w:r>
    </w:p>
    <w:p w14:paraId="3579E7DF">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响应供应商需配备满足本项目服务所必需的设备和专业技术能力。</w:t>
      </w:r>
    </w:p>
    <w:p w14:paraId="7E78DDDD">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3.服务标准</w:t>
      </w:r>
    </w:p>
    <w:p w14:paraId="33A189DA">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（1）建立试点区县生态产品基础数据库和目录体系。</w:t>
      </w:r>
    </w:p>
    <w:p w14:paraId="203A0D62">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（2）量化生态产品价值，形成可应用报告。</w:t>
      </w:r>
    </w:p>
    <w:p w14:paraId="0731B78D">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（3）提供本地化技术规范，支持全市推广。</w:t>
      </w:r>
    </w:p>
    <w:p w14:paraId="1851A9BC">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（4）探索智能化平台模式，开展生态产品价值实现从“度量难”到“变现易”的全链条路径研究，助力秦岭北麓生态保护与绿色高质量发展。</w:t>
      </w:r>
    </w:p>
    <w:p w14:paraId="005DFEFE">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4.服务执行要求</w:t>
      </w:r>
    </w:p>
    <w:p w14:paraId="1BE1E285">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en-US" w:bidi="ar-SA"/>
        </w:rPr>
        <w:t>严格按照采购人工作部署及时间节点推进各项工作。主动接受采购人日常监督、检查与考核，及时响应采购人工作调整要求，按时采购文件要求的相关内容。</w:t>
      </w:r>
    </w:p>
    <w:p w14:paraId="5B2F9D43">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zh-CN" w:bidi="ar-SA"/>
        </w:rPr>
        <w:t>5</w:t>
      </w:r>
      <w:r>
        <w:rPr>
          <w:rFonts w:hint="eastAsia" w:ascii="宋体" w:hAnsi="宋体" w:eastAsia="宋体" w:cs="宋体"/>
          <w:spacing w:val="0"/>
          <w:kern w:val="2"/>
          <w:sz w:val="24"/>
          <w:szCs w:val="24"/>
          <w:u w:val="single" w:color="auto"/>
          <w:lang w:val="en-US" w:eastAsia="en-US" w:bidi="ar-SA"/>
        </w:rPr>
        <w:t>.纸质报告(一式</w:t>
      </w:r>
      <w:r>
        <w:rPr>
          <w:rFonts w:hint="eastAsia" w:ascii="宋体" w:hAnsi="宋体" w:eastAsia="宋体" w:cs="宋体"/>
          <w:spacing w:val="0"/>
          <w:kern w:val="2"/>
          <w:sz w:val="24"/>
          <w:szCs w:val="24"/>
          <w:u w:val="single" w:color="auto"/>
          <w:lang w:val="en-US" w:eastAsia="zh-CN" w:bidi="ar-SA"/>
        </w:rPr>
        <w:t xml:space="preserve">   </w:t>
      </w:r>
      <w:r>
        <w:rPr>
          <w:rFonts w:hint="eastAsia" w:ascii="宋体" w:hAnsi="宋体" w:eastAsia="宋体" w:cs="宋体"/>
          <w:spacing w:val="0"/>
          <w:kern w:val="2"/>
          <w:sz w:val="24"/>
          <w:szCs w:val="24"/>
          <w:u w:val="single" w:color="auto"/>
          <w:lang w:val="en-US" w:eastAsia="en-US" w:bidi="ar-SA"/>
        </w:rPr>
        <w:t>份)必须清晰完整。</w:t>
      </w:r>
    </w:p>
    <w:p w14:paraId="23F0652B">
      <w:pPr>
        <w:pStyle w:val="7"/>
        <w:keepNext/>
        <w:keepLines/>
        <w:pageBreakBefore w:val="0"/>
        <w:widowControl w:val="0"/>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kern w:val="2"/>
          <w:sz w:val="24"/>
          <w:szCs w:val="24"/>
          <w:u w:val="single" w:color="auto"/>
          <w:lang w:val="en-US" w:eastAsia="en-US" w:bidi="ar-SA"/>
        </w:rPr>
      </w:pPr>
      <w:r>
        <w:rPr>
          <w:rFonts w:hint="eastAsia" w:ascii="宋体" w:hAnsi="宋体" w:eastAsia="宋体" w:cs="宋体"/>
          <w:spacing w:val="0"/>
          <w:kern w:val="2"/>
          <w:sz w:val="24"/>
          <w:szCs w:val="24"/>
          <w:u w:val="single" w:color="auto"/>
          <w:lang w:val="en-US" w:eastAsia="zh-CN" w:bidi="ar-SA"/>
        </w:rPr>
        <w:t>6</w:t>
      </w:r>
      <w:r>
        <w:rPr>
          <w:rFonts w:hint="eastAsia" w:ascii="宋体" w:hAnsi="宋体" w:eastAsia="宋体" w:cs="宋体"/>
          <w:spacing w:val="0"/>
          <w:kern w:val="2"/>
          <w:sz w:val="24"/>
          <w:szCs w:val="24"/>
          <w:u w:val="single" w:color="auto"/>
          <w:lang w:val="en-US" w:eastAsia="en-US" w:bidi="ar-SA"/>
        </w:rPr>
        <w:t>.报告成果所使用的文字必须为简体中文。</w:t>
      </w:r>
    </w:p>
    <w:p w14:paraId="7BE409EF">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三</w:t>
      </w:r>
      <w:r>
        <w:rPr>
          <w:rFonts w:hint="eastAsia" w:ascii="宋体" w:hAnsi="宋体" w:eastAsia="宋体" w:cs="宋体"/>
          <w:b/>
          <w:bCs/>
          <w:spacing w:val="0"/>
          <w:sz w:val="24"/>
          <w:szCs w:val="24"/>
        </w:rPr>
        <w:t>、合同价款</w:t>
      </w:r>
    </w:p>
    <w:p w14:paraId="7B6CCBC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z w:val="24"/>
          <w:szCs w:val="24"/>
        </w:rPr>
      </w:pPr>
      <w:r>
        <w:rPr>
          <w:rFonts w:hint="eastAsia" w:ascii="宋体" w:hAnsi="宋体" w:eastAsia="宋体" w:cs="宋体"/>
          <w:spacing w:val="4"/>
          <w:sz w:val="24"/>
          <w:szCs w:val="24"/>
        </w:rPr>
        <w:t>1.合同金额(大写):</w:t>
      </w:r>
      <w:r>
        <w:rPr>
          <w:rFonts w:hint="eastAsia" w:ascii="宋体" w:hAnsi="宋体" w:eastAsia="宋体" w:cs="宋体"/>
          <w:spacing w:val="-12"/>
          <w:sz w:val="24"/>
          <w:szCs w:val="24"/>
          <w:u w:val="single"/>
          <w:lang w:val="en-US" w:eastAsia="zh-CN"/>
        </w:rPr>
        <w:t xml:space="preserve">                  </w:t>
      </w:r>
      <w:r>
        <w:rPr>
          <w:rFonts w:hint="eastAsia" w:ascii="宋体" w:hAnsi="宋体" w:eastAsia="宋体" w:cs="宋体"/>
          <w:spacing w:val="4"/>
          <w:sz w:val="24"/>
          <w:szCs w:val="24"/>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w:t>
      </w:r>
    </w:p>
    <w:p w14:paraId="6E95AF2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z w:val="24"/>
          <w:szCs w:val="24"/>
        </w:rPr>
      </w:pPr>
      <w:r>
        <w:rPr>
          <w:rFonts w:hint="eastAsia" w:ascii="宋体" w:hAnsi="宋体" w:eastAsia="宋体" w:cs="宋体"/>
          <w:spacing w:val="-10"/>
          <w:sz w:val="24"/>
          <w:szCs w:val="24"/>
        </w:rPr>
        <w:t>2.合同总价即中标价，为一次性报价，不受市场价变化或实际工作量变化的影响。合同价款为完成本项目所需的人工、摸底调查、报告、方案编制、办法制定、税费、成果归档等</w:t>
      </w:r>
      <w:r>
        <w:rPr>
          <w:rFonts w:hint="eastAsia" w:ascii="宋体" w:hAnsi="宋体" w:eastAsia="宋体" w:cs="宋体"/>
          <w:spacing w:val="-8"/>
          <w:sz w:val="24"/>
          <w:szCs w:val="24"/>
        </w:rPr>
        <w:t>其他相关的一切费用。</w:t>
      </w:r>
    </w:p>
    <w:p w14:paraId="74D9760A">
      <w:pPr>
        <w:keepNext w:val="0"/>
        <w:keepLines w:val="0"/>
        <w:pageBreakBefore w:val="0"/>
        <w:widowControl w:val="0"/>
        <w:kinsoku/>
        <w:wordWrap/>
        <w:overflowPunct/>
        <w:topLinePunct w:val="0"/>
        <w:autoSpaceDE/>
        <w:autoSpaceDN/>
        <w:bidi w:val="0"/>
        <w:adjustRightInd w:val="0"/>
        <w:snapToGrid w:val="0"/>
        <w:spacing w:line="360" w:lineRule="auto"/>
        <w:ind w:right="0" w:firstLine="452" w:firstLineChars="200"/>
        <w:textAlignment w:val="auto"/>
        <w:rPr>
          <w:rFonts w:hint="eastAsia" w:ascii="宋体" w:hAnsi="宋体" w:eastAsia="宋体" w:cs="宋体"/>
          <w:sz w:val="24"/>
          <w:szCs w:val="24"/>
        </w:rPr>
      </w:pPr>
      <w:r>
        <w:rPr>
          <w:rFonts w:hint="eastAsia" w:ascii="宋体" w:hAnsi="宋体" w:eastAsia="宋体" w:cs="宋体"/>
          <w:spacing w:val="-7"/>
          <w:sz w:val="24"/>
          <w:szCs w:val="24"/>
        </w:rPr>
        <w:t>3.合同总价一次性包死，不受市场价格变化因素的影</w:t>
      </w:r>
      <w:r>
        <w:rPr>
          <w:rFonts w:hint="eastAsia" w:ascii="宋体" w:hAnsi="宋体" w:eastAsia="宋体" w:cs="宋体"/>
          <w:spacing w:val="-8"/>
          <w:sz w:val="24"/>
          <w:szCs w:val="24"/>
        </w:rPr>
        <w:t>响。</w:t>
      </w:r>
    </w:p>
    <w:p w14:paraId="4745C1B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四</w:t>
      </w:r>
      <w:r>
        <w:rPr>
          <w:rFonts w:hint="eastAsia" w:ascii="宋体" w:hAnsi="宋体" w:eastAsia="宋体" w:cs="宋体"/>
          <w:b/>
          <w:bCs/>
          <w:spacing w:val="0"/>
          <w:sz w:val="24"/>
          <w:szCs w:val="24"/>
        </w:rPr>
        <w:t>、付款方式</w:t>
      </w:r>
    </w:p>
    <w:p w14:paraId="148F9B1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b/>
          <w:bCs/>
          <w:spacing w:val="-8"/>
          <w:sz w:val="24"/>
          <w:szCs w:val="24"/>
        </w:rPr>
      </w:pPr>
      <w:r>
        <w:rPr>
          <w:rFonts w:hint="eastAsia" w:ascii="宋体" w:hAnsi="宋体" w:eastAsia="宋体" w:cs="宋体"/>
          <w:b/>
          <w:bCs/>
          <w:spacing w:val="-8"/>
          <w:sz w:val="24"/>
          <w:szCs w:val="24"/>
        </w:rPr>
        <w:t>(一)分期付款</w:t>
      </w:r>
    </w:p>
    <w:p w14:paraId="011A60E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1、合同签订后，15日内，支付合同总金额的30%。</w:t>
      </w:r>
    </w:p>
    <w:p w14:paraId="740139B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2、乙方完成服务内容包括（6份区县目录清单、6份核算报告、1份市级技术办法（试行）、1份平台规划方案）及其他相关材料后，经甲方验收合格后15日内，支付合同总金额的70%。</w:t>
      </w:r>
    </w:p>
    <w:p w14:paraId="7655A3D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b/>
          <w:bCs/>
          <w:spacing w:val="-8"/>
          <w:sz w:val="24"/>
          <w:szCs w:val="24"/>
        </w:rPr>
        <w:t>(二)支付方式：</w:t>
      </w:r>
      <w:r>
        <w:rPr>
          <w:rFonts w:hint="eastAsia" w:ascii="宋体" w:hAnsi="宋体" w:eastAsia="宋体" w:cs="宋体"/>
          <w:spacing w:val="-8"/>
          <w:sz w:val="24"/>
          <w:szCs w:val="24"/>
        </w:rPr>
        <w:t>银行转账。</w:t>
      </w:r>
    </w:p>
    <w:p w14:paraId="36357FD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乙方指定收款银行账户如下：</w:t>
      </w:r>
    </w:p>
    <w:p w14:paraId="6B97D20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default" w:ascii="宋体" w:hAnsi="宋体" w:eastAsia="宋体" w:cs="宋体"/>
          <w:spacing w:val="-8"/>
          <w:sz w:val="24"/>
          <w:szCs w:val="24"/>
          <w:u w:val="single"/>
          <w:lang w:val="en-US" w:eastAsia="zh-CN"/>
        </w:rPr>
      </w:pPr>
      <w:r>
        <w:rPr>
          <w:rFonts w:hint="eastAsia" w:ascii="宋体" w:hAnsi="宋体" w:eastAsia="宋体" w:cs="宋体"/>
          <w:spacing w:val="-8"/>
          <w:sz w:val="24"/>
          <w:szCs w:val="24"/>
        </w:rPr>
        <w:t>开户银行：</w:t>
      </w:r>
      <w:r>
        <w:rPr>
          <w:rFonts w:hint="eastAsia" w:ascii="宋体" w:hAnsi="宋体" w:eastAsia="宋体" w:cs="宋体"/>
          <w:spacing w:val="-8"/>
          <w:sz w:val="24"/>
          <w:szCs w:val="24"/>
          <w:u w:val="single"/>
          <w:lang w:val="en-US" w:eastAsia="zh-CN"/>
        </w:rPr>
        <w:t xml:space="preserve">                      </w:t>
      </w:r>
    </w:p>
    <w:p w14:paraId="3971C2B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开户账号：</w:t>
      </w:r>
      <w:r>
        <w:rPr>
          <w:rFonts w:hint="eastAsia" w:ascii="宋体" w:hAnsi="宋体" w:eastAsia="宋体" w:cs="宋体"/>
          <w:spacing w:val="-8"/>
          <w:sz w:val="24"/>
          <w:szCs w:val="24"/>
          <w:u w:val="single"/>
          <w:lang w:val="en-US" w:eastAsia="zh-CN"/>
        </w:rPr>
        <w:t xml:space="preserve">                      </w:t>
      </w:r>
    </w:p>
    <w:p w14:paraId="426AF24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开户人：</w:t>
      </w:r>
      <w:r>
        <w:rPr>
          <w:rFonts w:hint="eastAsia" w:ascii="宋体" w:hAnsi="宋体" w:eastAsia="宋体" w:cs="宋体"/>
          <w:spacing w:val="-8"/>
          <w:sz w:val="24"/>
          <w:szCs w:val="24"/>
          <w:u w:val="single"/>
          <w:lang w:val="en-US" w:eastAsia="zh-CN"/>
        </w:rPr>
        <w:t xml:space="preserve">                      </w:t>
      </w:r>
    </w:p>
    <w:p w14:paraId="355B002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textAlignment w:val="auto"/>
        <w:rPr>
          <w:rFonts w:hint="eastAsia" w:ascii="宋体" w:hAnsi="宋体" w:eastAsia="宋体" w:cs="宋体"/>
          <w:spacing w:val="-8"/>
          <w:sz w:val="24"/>
          <w:szCs w:val="24"/>
        </w:rPr>
      </w:pPr>
      <w:r>
        <w:rPr>
          <w:rFonts w:hint="eastAsia" w:ascii="宋体" w:hAnsi="宋体" w:eastAsia="宋体" w:cs="宋体"/>
          <w:b/>
          <w:bCs/>
          <w:spacing w:val="-8"/>
          <w:sz w:val="24"/>
          <w:szCs w:val="24"/>
        </w:rPr>
        <w:t>(三)结算方式：</w:t>
      </w:r>
      <w:r>
        <w:rPr>
          <w:rFonts w:hint="eastAsia" w:ascii="宋体" w:hAnsi="宋体" w:eastAsia="宋体" w:cs="宋体"/>
          <w:spacing w:val="-8"/>
          <w:sz w:val="24"/>
          <w:szCs w:val="24"/>
        </w:rPr>
        <w:t>验收合格后填写政府采购项目验收单(一式</w:t>
      </w:r>
      <w:r>
        <w:rPr>
          <w:rFonts w:hint="eastAsia" w:ascii="宋体" w:hAnsi="宋体" w:eastAsia="宋体" w:cs="宋体"/>
          <w:spacing w:val="-8"/>
          <w:sz w:val="24"/>
          <w:szCs w:val="24"/>
          <w:u w:val="single"/>
          <w:lang w:val="en-US" w:eastAsia="zh-CN"/>
        </w:rPr>
        <w:t xml:space="preserve"> 伍 </w:t>
      </w:r>
      <w:r>
        <w:rPr>
          <w:rFonts w:hint="eastAsia" w:ascii="宋体" w:hAnsi="宋体" w:eastAsia="宋体" w:cs="宋体"/>
          <w:spacing w:val="-8"/>
          <w:sz w:val="24"/>
          <w:szCs w:val="24"/>
        </w:rPr>
        <w:t>份,发票(按合同总价值开采购人),服务商持成交通知书、服务合同、正式发票、政府采购项目验收单，与采购人结算。</w:t>
      </w:r>
    </w:p>
    <w:p w14:paraId="66077072">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z w:val="24"/>
          <w:szCs w:val="24"/>
        </w:rPr>
      </w:pPr>
      <w:r>
        <w:rPr>
          <w:rFonts w:hint="eastAsia" w:ascii="宋体" w:hAnsi="宋体" w:eastAsia="宋体" w:cs="宋体"/>
          <w:b/>
          <w:bCs/>
          <w:spacing w:val="0"/>
          <w:sz w:val="24"/>
          <w:szCs w:val="24"/>
          <w:lang w:val="en-US" w:eastAsia="zh-CN"/>
        </w:rPr>
        <w:t>五、知识产权(技术成果)的归属</w:t>
      </w:r>
    </w:p>
    <w:p w14:paraId="6D83D09F">
      <w:pPr>
        <w:keepNext w:val="0"/>
        <w:keepLines w:val="0"/>
        <w:pageBreakBefore w:val="0"/>
        <w:widowControl w:val="0"/>
        <w:kinsoku/>
        <w:wordWrap/>
        <w:overflowPunct/>
        <w:topLinePunct w:val="0"/>
        <w:autoSpaceDE/>
        <w:autoSpaceDN/>
        <w:bidi w:val="0"/>
        <w:adjustRightInd w:val="0"/>
        <w:snapToGrid w:val="0"/>
        <w:spacing w:line="360" w:lineRule="auto"/>
        <w:ind w:left="0"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本项目所有报告、方案、清单、技术办法及衍生成果全部知识产权、著作权、使用权归甲方独家所有；乙方不得擅自用于其他项目、对外发布、转让第三方，若引发知识产权侵权纠纷，全部责任及经济损失由乙方全额承担，甲方有权单方解除合同并追回全部已付款项</w:t>
      </w:r>
    </w:p>
    <w:p w14:paraId="5315E291">
      <w:pPr>
        <w:keepNext w:val="0"/>
        <w:keepLines w:val="0"/>
        <w:pageBreakBefore w:val="0"/>
        <w:widowControl w:val="0"/>
        <w:kinsoku/>
        <w:wordWrap/>
        <w:overflowPunct/>
        <w:topLinePunct w:val="0"/>
        <w:autoSpaceDE/>
        <w:autoSpaceDN/>
        <w:bidi w:val="0"/>
        <w:adjustRightInd w:val="0"/>
        <w:snapToGrid w:val="0"/>
        <w:spacing w:line="360" w:lineRule="auto"/>
        <w:ind w:right="0" w:firstLine="456" w:firstLineChars="200"/>
        <w:textAlignment w:val="auto"/>
        <w:rPr>
          <w:rFonts w:hint="eastAsia" w:ascii="宋体" w:hAnsi="宋体" w:eastAsia="宋体" w:cs="宋体"/>
          <w:sz w:val="24"/>
          <w:szCs w:val="24"/>
        </w:rPr>
      </w:pPr>
      <w:r>
        <w:rPr>
          <w:rFonts w:hint="eastAsia" w:ascii="宋体" w:hAnsi="宋体" w:eastAsia="宋体" w:cs="宋体"/>
          <w:spacing w:val="-6"/>
          <w:sz w:val="24"/>
          <w:szCs w:val="24"/>
        </w:rPr>
        <w:t>2.乙方所提供的服务及递交的成果应具有或已取得合法知识产权，乙方应</w:t>
      </w:r>
      <w:r>
        <w:rPr>
          <w:rFonts w:hint="eastAsia" w:ascii="宋体" w:hAnsi="宋体" w:eastAsia="宋体" w:cs="宋体"/>
          <w:spacing w:val="-11"/>
          <w:sz w:val="24"/>
          <w:szCs w:val="24"/>
        </w:rPr>
        <w:t>保证所供产品及服务不会出现因第三方提出侵犯其专利权、商标权或其它知</w:t>
      </w:r>
      <w:r>
        <w:rPr>
          <w:rFonts w:hint="eastAsia" w:ascii="宋体" w:hAnsi="宋体" w:eastAsia="宋体" w:cs="宋体"/>
          <w:spacing w:val="-12"/>
          <w:sz w:val="24"/>
          <w:szCs w:val="24"/>
        </w:rPr>
        <w:t>识产</w:t>
      </w:r>
      <w:r>
        <w:rPr>
          <w:rFonts w:hint="eastAsia" w:ascii="宋体" w:hAnsi="宋体" w:eastAsia="宋体" w:cs="宋体"/>
          <w:spacing w:val="-8"/>
          <w:sz w:val="24"/>
          <w:szCs w:val="24"/>
        </w:rPr>
        <w:t>权而引发法律或经济纠纷，否则由乙方负责解决并承担全部责任。</w:t>
      </w:r>
    </w:p>
    <w:p w14:paraId="61FD6C68">
      <w:pPr>
        <w:keepNext w:val="0"/>
        <w:keepLines w:val="0"/>
        <w:pageBreakBefore w:val="0"/>
        <w:widowControl w:val="0"/>
        <w:kinsoku/>
        <w:wordWrap/>
        <w:overflowPunct/>
        <w:topLinePunct w:val="0"/>
        <w:autoSpaceDE/>
        <w:autoSpaceDN/>
        <w:bidi w:val="0"/>
        <w:adjustRightInd w:val="0"/>
        <w:snapToGrid w:val="0"/>
        <w:spacing w:line="360" w:lineRule="auto"/>
        <w:ind w:left="0" w:right="0" w:firstLine="452" w:firstLineChars="200"/>
        <w:textAlignment w:val="auto"/>
        <w:rPr>
          <w:rFonts w:hint="eastAsia" w:ascii="宋体" w:hAnsi="宋体" w:eastAsia="宋体" w:cs="宋体"/>
          <w:sz w:val="24"/>
          <w:szCs w:val="24"/>
        </w:rPr>
      </w:pPr>
      <w:r>
        <w:rPr>
          <w:rFonts w:hint="eastAsia" w:ascii="宋体" w:hAnsi="宋体" w:eastAsia="宋体" w:cs="宋体"/>
          <w:spacing w:val="-7"/>
          <w:sz w:val="24"/>
          <w:szCs w:val="24"/>
        </w:rPr>
        <w:t>3.乙方为执行本合同而提供的技术资料使用权归甲方所有。</w:t>
      </w:r>
    </w:p>
    <w:p w14:paraId="3099286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z w:val="24"/>
          <w:szCs w:val="24"/>
        </w:rPr>
      </w:pPr>
      <w:r>
        <w:rPr>
          <w:rFonts w:hint="eastAsia" w:ascii="宋体" w:hAnsi="宋体" w:eastAsia="宋体" w:cs="宋体"/>
          <w:spacing w:val="-8"/>
          <w:sz w:val="24"/>
          <w:szCs w:val="24"/>
        </w:rPr>
        <w:t>4.乙方应保证甲方在使用成交产品时，不承担任何</w:t>
      </w:r>
      <w:r>
        <w:rPr>
          <w:rFonts w:hint="eastAsia" w:ascii="宋体" w:hAnsi="宋体" w:eastAsia="宋体" w:cs="宋体"/>
          <w:spacing w:val="-9"/>
          <w:sz w:val="24"/>
          <w:szCs w:val="24"/>
        </w:rPr>
        <w:t>涉及知识产权法律诉讼的</w:t>
      </w:r>
      <w:r>
        <w:rPr>
          <w:rFonts w:hint="eastAsia" w:ascii="宋体" w:hAnsi="宋体" w:eastAsia="宋体" w:cs="宋体"/>
          <w:spacing w:val="-12"/>
          <w:sz w:val="24"/>
          <w:szCs w:val="24"/>
        </w:rPr>
        <w:t>责任。</w:t>
      </w:r>
    </w:p>
    <w:p w14:paraId="356E4B36">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5.乙方无论出于任何目的如在其他地方使用该成果，</w:t>
      </w:r>
      <w:r>
        <w:rPr>
          <w:rFonts w:hint="eastAsia" w:ascii="宋体" w:hAnsi="宋体" w:eastAsia="宋体" w:cs="宋体"/>
          <w:spacing w:val="-2"/>
          <w:sz w:val="24"/>
          <w:szCs w:val="24"/>
        </w:rPr>
        <w:t>必须经甲方同意方可使</w:t>
      </w:r>
      <w:r>
        <w:rPr>
          <w:rFonts w:hint="eastAsia" w:ascii="宋体" w:hAnsi="宋体" w:eastAsia="宋体" w:cs="宋体"/>
          <w:sz w:val="24"/>
          <w:szCs w:val="24"/>
        </w:rPr>
        <w:t>用。否则，甲方有权要求终止涉及到该中标知识产权的任何使用活动并保留追究</w:t>
      </w:r>
      <w:r>
        <w:rPr>
          <w:rFonts w:hint="eastAsia" w:ascii="宋体" w:hAnsi="宋体" w:eastAsia="宋体" w:cs="宋体"/>
          <w:spacing w:val="-1"/>
          <w:sz w:val="24"/>
          <w:szCs w:val="24"/>
        </w:rPr>
        <w:t>乙方相应的法律责任的权利。</w:t>
      </w:r>
    </w:p>
    <w:p w14:paraId="1B6B05AF">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z w:val="24"/>
          <w:szCs w:val="24"/>
        </w:rPr>
      </w:pPr>
      <w:r>
        <w:rPr>
          <w:rFonts w:hint="eastAsia" w:ascii="宋体" w:hAnsi="宋体" w:eastAsia="宋体" w:cs="宋体"/>
          <w:b/>
          <w:bCs/>
          <w:spacing w:val="0"/>
          <w:sz w:val="24"/>
          <w:szCs w:val="24"/>
          <w:lang w:val="en-US" w:eastAsia="zh-CN"/>
        </w:rPr>
        <w:t>六、验收标</w:t>
      </w:r>
      <w:r>
        <w:rPr>
          <w:rFonts w:hint="eastAsia" w:ascii="宋体" w:hAnsi="宋体" w:eastAsia="宋体" w:cs="宋体"/>
          <w:b/>
          <w:bCs/>
          <w:spacing w:val="-4"/>
          <w:sz w:val="24"/>
          <w:szCs w:val="24"/>
        </w:rPr>
        <w:t>准</w:t>
      </w:r>
    </w:p>
    <w:p w14:paraId="7EBF387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(一)验收</w:t>
      </w:r>
    </w:p>
    <w:p w14:paraId="7DC75C03">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服务内容完成后先由供应商(乙方)进行自检，自检合格后邀请采购人(甲方)进行验收。甲方确认乙方的自检内容后，组织乙方进行最终验收，验收时乙方应派员参加，共同对验收结果进行确认，并承担相关责任(必要时甲方可委托具有相关资质的第三方检测机构/技术专家进行系统验收，由此产生的相关费用由乙方承担)。验收合格后，甲乙双方填写政府采购项目履约验收单(一式伍份)作为对服务的最终认可。供应商(乙方)每季度一次，向采购人(甲方)提交服务实施过程中的所有资料，以便采购人(甲方)日后管理。</w:t>
      </w:r>
    </w:p>
    <w:p w14:paraId="124463A7">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(二)验收依据</w:t>
      </w:r>
    </w:p>
    <w:p w14:paraId="2F79AC62">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1.招投标文件、澄清表(函);</w:t>
      </w:r>
    </w:p>
    <w:p w14:paraId="68801FB5">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2.本合同及附件文本；</w:t>
      </w:r>
    </w:p>
    <w:p w14:paraId="5FC24F13">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3.合同签订时国家及行业现行的标准和技术规范。</w:t>
      </w:r>
    </w:p>
    <w:p w14:paraId="473322D4">
      <w:pPr>
        <w:pStyle w:val="7"/>
        <w:keepNext/>
        <w:keepLines/>
        <w:pageBreakBefore w:val="0"/>
        <w:widowControl w:val="0"/>
        <w:kinsoku/>
        <w:wordWrap w:val="0"/>
        <w:overflowPunct/>
        <w:topLinePunct/>
        <w:autoSpaceDE/>
        <w:autoSpaceDN/>
        <w:bidi w:val="0"/>
        <w:adjustRightInd w:val="0"/>
        <w:snapToGrid w:val="0"/>
        <w:spacing w:line="300" w:lineRule="auto"/>
        <w:ind w:left="0"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kern w:val="2"/>
          <w:sz w:val="24"/>
          <w:szCs w:val="24"/>
          <w:lang w:val="en-US" w:eastAsia="zh-CN" w:bidi="ar-SA"/>
        </w:rPr>
        <w:t>4.符合国家《生态产品总值核算规范（试行）》及陕西、西安本地生态特征，数据来源可靠，结果科学、可验证。</w:t>
      </w:r>
    </w:p>
    <w:p w14:paraId="4A56F59C">
      <w:pPr>
        <w:keepNext w:val="0"/>
        <w:keepLines w:val="0"/>
        <w:pageBreakBefore w:val="0"/>
        <w:widowControl w:val="0"/>
        <w:kinsoku/>
        <w:wordWrap/>
        <w:overflowPunct/>
        <w:topLinePunct w:val="0"/>
        <w:autoSpaceDE/>
        <w:autoSpaceDN/>
        <w:bidi w:val="0"/>
        <w:adjustRightInd w:val="0"/>
        <w:snapToGrid w:val="0"/>
        <w:spacing w:line="360" w:lineRule="auto"/>
        <w:ind w:left="0" w:right="0"/>
        <w:textAlignment w:val="auto"/>
        <w:rPr>
          <w:rFonts w:ascii="Arial"/>
          <w:sz w:val="2"/>
        </w:rPr>
      </w:pPr>
    </w:p>
    <w:p w14:paraId="6EAD8E67">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(三)资料归档</w:t>
      </w:r>
    </w:p>
    <w:p w14:paraId="2F6217DC">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乙方应向甲方提交项目实施过程中的所有资料，以便采购人甲方日后管理和维护。</w:t>
      </w:r>
    </w:p>
    <w:p w14:paraId="7D7E7C1E">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spacing w:val="-1"/>
          <w:sz w:val="24"/>
          <w:szCs w:val="24"/>
        </w:rPr>
      </w:pPr>
      <w:r>
        <w:rPr>
          <w:rFonts w:hint="eastAsia" w:ascii="宋体" w:hAnsi="宋体" w:eastAsia="宋体" w:cs="宋体"/>
          <w:b/>
          <w:bCs/>
          <w:spacing w:val="0"/>
          <w:sz w:val="24"/>
          <w:szCs w:val="24"/>
          <w:lang w:val="en-US" w:eastAsia="zh-CN"/>
        </w:rPr>
        <w:t>七、双方权利义务</w:t>
      </w:r>
    </w:p>
    <w:p w14:paraId="58ABEF66">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(一)甲方的权利义务</w:t>
      </w:r>
    </w:p>
    <w:p w14:paraId="40476914">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1.</w:t>
      </w:r>
      <w:r>
        <w:rPr>
          <w:rFonts w:hint="eastAsia" w:ascii="宋体" w:hAnsi="宋体" w:eastAsia="宋体" w:cs="宋体"/>
          <w:spacing w:val="-1"/>
          <w:sz w:val="24"/>
          <w:szCs w:val="24"/>
          <w:lang w:val="en-US" w:eastAsia="zh-CN"/>
        </w:rPr>
        <w:t>甲方</w:t>
      </w:r>
      <w:r>
        <w:rPr>
          <w:rFonts w:hint="eastAsia" w:ascii="宋体" w:hAnsi="宋体" w:eastAsia="宋体" w:cs="宋体"/>
          <w:spacing w:val="-1"/>
          <w:sz w:val="24"/>
          <w:szCs w:val="24"/>
        </w:rPr>
        <w:t>对</w:t>
      </w:r>
      <w:r>
        <w:rPr>
          <w:rFonts w:hint="eastAsia" w:ascii="宋体" w:hAnsi="宋体" w:eastAsia="宋体" w:cs="宋体"/>
          <w:spacing w:val="-1"/>
          <w:sz w:val="24"/>
          <w:szCs w:val="24"/>
          <w:lang w:val="en-US" w:eastAsia="zh-CN"/>
        </w:rPr>
        <w:t>乙方</w:t>
      </w:r>
      <w:r>
        <w:rPr>
          <w:rFonts w:hint="eastAsia" w:ascii="宋体" w:hAnsi="宋体" w:eastAsia="宋体" w:cs="宋体"/>
          <w:spacing w:val="-1"/>
          <w:sz w:val="24"/>
          <w:szCs w:val="24"/>
        </w:rPr>
        <w:t>服务质量、工作进度、响应效率、进行常态化考核，若</w:t>
      </w:r>
      <w:r>
        <w:rPr>
          <w:rFonts w:hint="eastAsia" w:ascii="宋体" w:hAnsi="宋体" w:eastAsia="宋体" w:cs="宋体"/>
          <w:spacing w:val="-1"/>
          <w:sz w:val="24"/>
          <w:szCs w:val="24"/>
          <w:lang w:val="en-US" w:eastAsia="zh-CN"/>
        </w:rPr>
        <w:t>乙方</w:t>
      </w:r>
      <w:r>
        <w:rPr>
          <w:rFonts w:hint="eastAsia" w:ascii="宋体" w:hAnsi="宋体" w:eastAsia="宋体" w:cs="宋体"/>
          <w:spacing w:val="-1"/>
          <w:sz w:val="24"/>
          <w:szCs w:val="24"/>
        </w:rPr>
        <w:t>未按要求履约、服务质量不达标、出现内容错误、逾期交付等问题，采购人有权要求限期整改，整改不到位的，有权依据合同约定追究违约责任。</w:t>
      </w:r>
    </w:p>
    <w:p w14:paraId="10487228">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2.当甲方认定专业人员不按合同履行其职责，或与第三人串通给甲方造成经济损失的，甲方有权要求更换专业人员，直至终止合同并要求乙方承担相应的赔偿责任。</w:t>
      </w:r>
    </w:p>
    <w:p w14:paraId="5B41ABDB">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3.甲方应当授权胜任本项目的代表(联系人姓名及邮箱),负责与乙方联系。</w:t>
      </w:r>
    </w:p>
    <w:p w14:paraId="1197E68B">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spacing w:val="-1"/>
          <w:sz w:val="24"/>
          <w:szCs w:val="24"/>
        </w:rPr>
      </w:pPr>
      <w:r>
        <w:rPr>
          <w:rFonts w:hint="eastAsia" w:ascii="宋体" w:hAnsi="宋体" w:eastAsia="宋体" w:cs="宋体"/>
          <w:b/>
          <w:bCs/>
          <w:spacing w:val="0"/>
          <w:sz w:val="24"/>
          <w:szCs w:val="24"/>
          <w:lang w:val="en-US" w:eastAsia="zh-CN"/>
        </w:rPr>
        <w:t>(二)乙方权利义务</w:t>
      </w:r>
    </w:p>
    <w:p w14:paraId="1C13373B">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drawing>
          <wp:anchor distT="0" distB="0" distL="0" distR="0" simplePos="0" relativeHeight="251661312" behindDoc="1" locked="0" layoutInCell="1" allowOverlap="1">
            <wp:simplePos x="0" y="0"/>
            <wp:positionH relativeFrom="column">
              <wp:posOffset>0</wp:posOffset>
            </wp:positionH>
            <wp:positionV relativeFrom="paragraph">
              <wp:posOffset>370840</wp:posOffset>
            </wp:positionV>
            <wp:extent cx="160655" cy="847725"/>
            <wp:effectExtent l="0" t="0" r="10795" b="9525"/>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7"/>
                    <a:stretch>
                      <a:fillRect/>
                    </a:stretch>
                  </pic:blipFill>
                  <pic:spPr>
                    <a:xfrm>
                      <a:off x="0" y="0"/>
                      <a:ext cx="160946" cy="847426"/>
                    </a:xfrm>
                    <a:prstGeom prst="rect">
                      <a:avLst/>
                    </a:prstGeom>
                  </pic:spPr>
                </pic:pic>
              </a:graphicData>
            </a:graphic>
          </wp:anchor>
        </w:drawing>
      </w:r>
      <w:r>
        <w:rPr>
          <w:rFonts w:hint="eastAsia" w:ascii="宋体" w:hAnsi="宋体" w:eastAsia="宋体" w:cs="宋体"/>
          <w:spacing w:val="-8"/>
          <w:sz w:val="24"/>
          <w:szCs w:val="24"/>
        </w:rPr>
        <w:t>1.按照合同规定全面完成任务，按期向甲方提交</w:t>
      </w:r>
      <w:r>
        <w:rPr>
          <w:rFonts w:hint="eastAsia" w:ascii="宋体" w:hAnsi="宋体" w:eastAsia="宋体" w:cs="宋体"/>
          <w:spacing w:val="-8"/>
          <w:sz w:val="24"/>
          <w:szCs w:val="24"/>
          <w:lang w:val="en-US" w:eastAsia="zh-CN"/>
        </w:rPr>
        <w:t>成果资料</w:t>
      </w:r>
      <w:r>
        <w:rPr>
          <w:rFonts w:hint="eastAsia" w:ascii="宋体" w:hAnsi="宋体" w:eastAsia="宋体" w:cs="宋体"/>
          <w:spacing w:val="-8"/>
          <w:sz w:val="24"/>
          <w:szCs w:val="24"/>
        </w:rPr>
        <w:t>。</w:t>
      </w:r>
    </w:p>
    <w:p w14:paraId="232F9D14">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2.合理组织力量，采取科学方法，按期展开</w:t>
      </w:r>
      <w:r>
        <w:rPr>
          <w:rFonts w:hint="eastAsia" w:ascii="宋体" w:hAnsi="宋体" w:eastAsia="宋体" w:cs="宋体"/>
          <w:spacing w:val="-8"/>
          <w:sz w:val="24"/>
          <w:szCs w:val="24"/>
          <w:lang w:val="en-US" w:eastAsia="zh-CN"/>
        </w:rPr>
        <w:t>工作</w:t>
      </w:r>
      <w:r>
        <w:rPr>
          <w:rFonts w:hint="eastAsia" w:ascii="宋体" w:hAnsi="宋体" w:eastAsia="宋体" w:cs="宋体"/>
          <w:spacing w:val="-8"/>
          <w:sz w:val="24"/>
          <w:szCs w:val="24"/>
        </w:rPr>
        <w:t>，保证成果的准确性、完整性和实效性。乙方在服务过程中，如甲方提供的资料不明确时可向甲方提出书面报告。</w:t>
      </w:r>
    </w:p>
    <w:p w14:paraId="13DF738D">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3.乙方在服务过程中，应当对第三人提出与本项目业务有关的问题进行核对或查问。</w:t>
      </w:r>
    </w:p>
    <w:p w14:paraId="59C5EBB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4.向甲方提供与本项目有关的资料，包括项目人员的资质证书及承担本业务的专业人员名单、编制工作计划等，并按合同专用条件中约定的范围实施业务。</w:t>
      </w:r>
    </w:p>
    <w:p w14:paraId="139E1944">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5.在项目服务期间，乙方应按照甲方的要求保证及时到项目现场。同时，针对项目出现较大争议的情况，乙方有效提出解决争议的方案。</w:t>
      </w:r>
    </w:p>
    <w:p w14:paraId="13D0445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6.乙方需派一名项目经理</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(电话：</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)(联系人姓名及</w:t>
      </w:r>
      <w:r>
        <w:rPr>
          <w:rFonts w:hint="eastAsia" w:ascii="宋体" w:hAnsi="宋体" w:eastAsia="宋体" w:cs="宋体"/>
          <w:spacing w:val="-8"/>
          <w:sz w:val="24"/>
          <w:szCs w:val="24"/>
          <w:lang w:val="en-US" w:eastAsia="zh-CN"/>
        </w:rPr>
        <w:t>电话</w:t>
      </w:r>
      <w:r>
        <w:rPr>
          <w:rFonts w:hint="eastAsia" w:ascii="宋体" w:hAnsi="宋体" w:eastAsia="宋体" w:cs="宋体"/>
          <w:spacing w:val="-8"/>
          <w:sz w:val="24"/>
          <w:szCs w:val="24"/>
        </w:rPr>
        <w:t>),直接与甲方沟通，项目经理接收甲方提出的问题与要求，并及时向公司申请调动资源，解决在项目实施过程中遇到的问题。</w:t>
      </w:r>
    </w:p>
    <w:p w14:paraId="18E7B8B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7.所供的成果报告必须保证是符合国家相关程序相关规定。乙方提供相关成果报告确保客观性、真实性、合法性。</w:t>
      </w:r>
    </w:p>
    <w:p w14:paraId="38935D5A">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8.乙方提供研究成果不存在侵犯他人知识产权的事宜，若在完成研究成果中需要获取他人资料或许可的，已经过对方同意并支付了相应的服务费。</w:t>
      </w:r>
    </w:p>
    <w:p w14:paraId="2AF2E62D">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9.乙方不得转让、分包给其它单位或个人。</w:t>
      </w:r>
    </w:p>
    <w:p w14:paraId="6BA9B167">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八、保密责任</w:t>
      </w:r>
    </w:p>
    <w:p w14:paraId="0138357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7E62FBE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2.乙方有义务保护甲方的知识产权，未经甲方同意，不得将甲方所有的具有知识产权性质的成果文件、资料向第三方转让或用于本合同以外的项目。如发生以上情况，甲方有权索赔。</w:t>
      </w:r>
    </w:p>
    <w:p w14:paraId="20105EB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3.保密期限为长期。若乙方泄密应向甲方支付合同价款</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%的违约金并赔偿甲方的所有损失。</w:t>
      </w:r>
    </w:p>
    <w:p w14:paraId="18EAC942">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1"/>
          <w:sz w:val="24"/>
          <w:szCs w:val="24"/>
        </w:rPr>
      </w:pPr>
      <w:r>
        <w:rPr>
          <w:rFonts w:hint="eastAsia" w:ascii="宋体" w:hAnsi="宋体" w:eastAsia="宋体" w:cs="宋体"/>
          <w:spacing w:val="-8"/>
          <w:sz w:val="24"/>
          <w:szCs w:val="24"/>
        </w:rPr>
        <w:t>4.本条款为独立条款，本合同的无效、变更、解除和终止均不影响本条款的效力</w:t>
      </w:r>
      <w:r>
        <w:rPr>
          <w:rFonts w:hint="eastAsia" w:ascii="宋体" w:hAnsi="宋体" w:eastAsia="宋体" w:cs="宋体"/>
          <w:spacing w:val="-1"/>
          <w:sz w:val="24"/>
          <w:szCs w:val="24"/>
        </w:rPr>
        <w:t>。</w:t>
      </w:r>
    </w:p>
    <w:p w14:paraId="3DE35525">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九、违约责任</w:t>
      </w:r>
    </w:p>
    <w:p w14:paraId="6E99ABC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1.按《民法典》中的相关条款执行。</w:t>
      </w:r>
    </w:p>
    <w:p w14:paraId="1E4C547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2.未按合同要求提供服务或服务质量不能满足合同要求，甲方应当将乙方违 约的情况以及拟采取的措施以书面形式报政府采购监管部门，根据政府采购监管 部门的处理意见，甲方有权单方面终止合同，并要求乙方承担违约责任。同时，政府采购监管部门有权依据《政府采购法》及相关法律法规对乙方的违法行为进行相应的处罚。</w:t>
      </w:r>
    </w:p>
    <w:p w14:paraId="33DE344A">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3.在本合同履行过程中，双方因违约或造成对方经济、社会效益等损失的应 当赔偿，包括但不限于律师费、差旅费、诉讼费、调查费、公证费、鉴定费、专家证人出庭费、诉讼保全保险费等。</w:t>
      </w:r>
    </w:p>
    <w:p w14:paraId="05AB4900">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4.乙方提供的服务不符合本项目相关文件和本合同规定的，甲方有权拒绝，并且乙方须向甲方支付本合同总价款</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%的违约金。</w:t>
      </w:r>
    </w:p>
    <w:p w14:paraId="5B8E87A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5.乙方未能按照本合同约定时间提供服务或完成约定的项目服务内容的，从逾期之日起每日按本合同总价款1%的数额向甲方支付违约金；逾期14日以上的，甲方有权终止合同，由此造成的甲方经济损失由乙方承担。</w:t>
      </w:r>
    </w:p>
    <w:p w14:paraId="243ED8F1">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6.未经甲方同意，乙方不得擅自将本合同服务转包或分包第三方承担。</w:t>
      </w:r>
    </w:p>
    <w:p w14:paraId="6D977A91">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十、协议解除或终止</w:t>
      </w:r>
    </w:p>
    <w:p w14:paraId="7D8525D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(一)除本合同另有规定外，在发生以下情况时，甲方有权在向乙方发出终 止通知后终止本合同：</w:t>
      </w:r>
    </w:p>
    <w:p w14:paraId="7878456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1.乙方未履行合同规定的义务并且在接到甲方通知后14天内或乙方在甲方同意延长的时间内仍未履行的。</w:t>
      </w:r>
    </w:p>
    <w:p w14:paraId="32B558C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2.因乙方的过错导致甲方的初步验收延迟超过2周。</w:t>
      </w:r>
    </w:p>
    <w:p w14:paraId="68181A3B">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(二)发生以下情况时，任何一方有权在向另一方发出终止通知后终止本合同：</w:t>
      </w:r>
    </w:p>
    <w:p w14:paraId="4EB00BDA">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一方破产或无清偿能力；</w:t>
      </w:r>
    </w:p>
    <w:p w14:paraId="7571161D">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2.不可抗力事件阻碍任何一方履行其合同义务持续超过14天；</w:t>
      </w:r>
    </w:p>
    <w:p w14:paraId="58B19EC1">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3.因本条而终止时，乙方仅有权就其在终止之前已履行的服务获得付款。</w:t>
      </w:r>
    </w:p>
    <w:p w14:paraId="268D780B">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十一、解决争议方式</w:t>
      </w:r>
    </w:p>
    <w:p w14:paraId="14E3832E">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本合同在履行过程中发生的争议，由甲、乙双方当事人协商解决，协商不成的依法向甲方所在地人民法院起诉。</w:t>
      </w:r>
    </w:p>
    <w:p w14:paraId="57A13606">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十二、组成本合同的文件</w:t>
      </w:r>
    </w:p>
    <w:p w14:paraId="5B8080E6">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(一)本合同中的词语和术语的含义与合同条款中定义的相同。</w:t>
      </w:r>
    </w:p>
    <w:p w14:paraId="2A119D17">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(二)下列文件是本合同的组成部分，并与本合同一起阅读和解释：</w:t>
      </w:r>
    </w:p>
    <w:p w14:paraId="54CA928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1.成交通知书</w:t>
      </w:r>
    </w:p>
    <w:p w14:paraId="51C4D3D8">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2.磋商响应文件</w:t>
      </w:r>
    </w:p>
    <w:p w14:paraId="63A507B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3.磋商文件</w:t>
      </w:r>
    </w:p>
    <w:p w14:paraId="352CB2EE">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4.本合同签订后，双方依法签订的补充协议也是本合同文件的组成部分。</w:t>
      </w:r>
    </w:p>
    <w:p w14:paraId="348F5C4C">
      <w:pPr>
        <w:keepNext w:val="0"/>
        <w:keepLines w:val="0"/>
        <w:pageBreakBefore w:val="0"/>
        <w:widowControl w:val="0"/>
        <w:kinsoku/>
        <w:wordWrap/>
        <w:overflowPunct/>
        <w:topLinePunct w:val="0"/>
        <w:autoSpaceDE/>
        <w:autoSpaceDN/>
        <w:bidi w:val="0"/>
        <w:adjustRightInd w:val="0"/>
        <w:snapToGrid w:val="0"/>
        <w:spacing w:line="360" w:lineRule="auto"/>
        <w:ind w:right="0" w:firstLine="482" w:firstLineChars="200"/>
        <w:textAlignment w:val="auto"/>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lang w:val="en-US" w:eastAsia="zh-CN"/>
        </w:rPr>
        <w:t>十三、合同生效及其他</w:t>
      </w:r>
    </w:p>
    <w:p w14:paraId="2755BC00">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 本合同须经甲、乙双方签字盖章后正式生效。</w:t>
      </w:r>
    </w:p>
    <w:p w14:paraId="33AB6838">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 合同生效后，甲、乙双方须严格执行本合同条款的规定，全面履行合同， 违者按《中华人民共和国民法典》的有关规定承担相应责任。</w:t>
      </w:r>
    </w:p>
    <w:p w14:paraId="299CFE6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3.本合同一式陆</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份，甲方持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份，乙方持</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份，西安市发改委机关党委备案</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rPr>
        <w:t>份。</w:t>
      </w:r>
    </w:p>
    <w:p w14:paraId="6BD73735">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4.本合同如有未尽事宜，甲、乙双方协商解决。</w:t>
      </w:r>
    </w:p>
    <w:p w14:paraId="32F9E02C">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(以下无正文)</w:t>
      </w:r>
    </w:p>
    <w:p w14:paraId="30BE250D">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p>
    <w:p w14:paraId="737A7986">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drawing>
          <wp:inline distT="0" distB="0" distL="0" distR="0">
            <wp:extent cx="184150" cy="1054735"/>
            <wp:effectExtent l="0" t="0" r="6350" b="12065"/>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8"/>
                    <a:stretch>
                      <a:fillRect/>
                    </a:stretch>
                  </pic:blipFill>
                  <pic:spPr>
                    <a:xfrm>
                      <a:off x="0" y="0"/>
                      <a:ext cx="184152" cy="1054911"/>
                    </a:xfrm>
                    <a:prstGeom prst="rect">
                      <a:avLst/>
                    </a:prstGeom>
                  </pic:spPr>
                </pic:pic>
              </a:graphicData>
            </a:graphic>
          </wp:inline>
        </w:drawing>
      </w:r>
    </w:p>
    <w:p w14:paraId="6D4A75B8">
      <w:pPr>
        <w:keepNext w:val="0"/>
        <w:keepLines w:val="0"/>
        <w:pageBreakBefore w:val="0"/>
        <w:widowControl w:val="0"/>
        <w:kinsoku/>
        <w:wordWrap/>
        <w:overflowPunct/>
        <w:topLinePunct w:val="0"/>
        <w:autoSpaceDE/>
        <w:autoSpaceDN/>
        <w:bidi w:val="0"/>
        <w:adjustRightInd w:val="0"/>
        <w:snapToGrid w:val="0"/>
        <w:spacing w:line="360" w:lineRule="auto"/>
        <w:ind w:right="0" w:firstLine="476" w:firstLineChars="200"/>
        <w:textAlignment w:val="auto"/>
        <w:rPr>
          <w:rFonts w:hint="eastAsia" w:ascii="宋体" w:hAnsi="宋体" w:eastAsia="宋体" w:cs="宋体"/>
          <w:spacing w:val="-1"/>
          <w:sz w:val="24"/>
          <w:szCs w:val="24"/>
        </w:rPr>
      </w:pPr>
    </w:p>
    <w:p w14:paraId="20B2E06C">
      <w:pPr>
        <w:spacing w:line="222" w:lineRule="auto"/>
        <w:rPr>
          <w:rFonts w:ascii="仿宋" w:hAnsi="仿宋" w:eastAsia="仿宋" w:cs="仿宋"/>
          <w:sz w:val="69"/>
          <w:szCs w:val="69"/>
        </w:rPr>
        <w:sectPr>
          <w:footerReference r:id="rId5" w:type="default"/>
          <w:pgSz w:w="11900" w:h="16830"/>
          <w:pgMar w:top="1417" w:right="1417" w:bottom="1417" w:left="1417" w:header="0" w:footer="1143" w:gutter="0"/>
          <w:pgNumType w:fmt="decimal" w:start="1"/>
          <w:cols w:space="720" w:num="1"/>
        </w:sectPr>
      </w:pPr>
    </w:p>
    <w:p w14:paraId="3167CA39">
      <w:pPr>
        <w:spacing w:before="71" w:line="216" w:lineRule="auto"/>
        <w:ind w:firstLine="452" w:firstLineChars="200"/>
        <w:rPr>
          <w:rFonts w:ascii="Arial"/>
          <w:sz w:val="21"/>
        </w:rPr>
      </w:pPr>
      <w:r>
        <w:rPr>
          <w:rFonts w:ascii="宋体" w:hAnsi="宋体" w:eastAsia="宋体" w:cs="宋体"/>
          <w:spacing w:val="3"/>
          <w:sz w:val="22"/>
          <w:szCs w:val="22"/>
        </w:rPr>
        <w:t>(本页无正文，为合同签署页)</w:t>
      </w:r>
    </w:p>
    <w:tbl>
      <w:tblPr>
        <w:tblStyle w:val="8"/>
        <w:tblW w:w="93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60"/>
        <w:gridCol w:w="3246"/>
        <w:gridCol w:w="1413"/>
      </w:tblGrid>
      <w:tr w14:paraId="5EDC7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jc w:val="center"/>
        </w:trPr>
        <w:tc>
          <w:tcPr>
            <w:tcW w:w="4660" w:type="dxa"/>
            <w:vAlign w:val="center"/>
          </w:tcPr>
          <w:p w14:paraId="2904585E">
            <w:pPr>
              <w:pStyle w:val="7"/>
              <w:keepNext w:val="0"/>
              <w:keepLines w:val="0"/>
              <w:pageBreakBefore w:val="0"/>
              <w:widowControl w:val="0"/>
              <w:kinsoku/>
              <w:wordWrap/>
              <w:overflowPunct/>
              <w:topLinePunct w:val="0"/>
              <w:autoSpaceDE/>
              <w:autoSpaceDN/>
              <w:bidi w:val="0"/>
              <w:adjustRightInd w:val="0"/>
              <w:snapToGrid w:val="0"/>
              <w:spacing w:line="221" w:lineRule="auto"/>
              <w:ind w:left="2108"/>
              <w:jc w:val="both"/>
              <w:textAlignment w:val="auto"/>
              <w:rPr>
                <w:rFonts w:hint="eastAsia" w:ascii="宋体" w:hAnsi="宋体" w:eastAsia="宋体" w:cs="宋体"/>
                <w:sz w:val="21"/>
                <w:szCs w:val="21"/>
              </w:rPr>
            </w:pPr>
            <w:r>
              <w:rPr>
                <w:rFonts w:hint="eastAsia" w:ascii="宋体" w:hAnsi="宋体" w:eastAsia="宋体" w:cs="宋体"/>
                <w:b/>
                <w:bCs/>
                <w:spacing w:val="-2"/>
                <w:sz w:val="21"/>
                <w:szCs w:val="21"/>
              </w:rPr>
              <w:t>甲方</w:t>
            </w:r>
          </w:p>
        </w:tc>
        <w:tc>
          <w:tcPr>
            <w:tcW w:w="4659" w:type="dxa"/>
            <w:gridSpan w:val="2"/>
            <w:vAlign w:val="center"/>
          </w:tcPr>
          <w:p w14:paraId="63C90095">
            <w:pPr>
              <w:pStyle w:val="7"/>
              <w:keepNext w:val="0"/>
              <w:keepLines w:val="0"/>
              <w:pageBreakBefore w:val="0"/>
              <w:widowControl w:val="0"/>
              <w:kinsoku/>
              <w:wordWrap/>
              <w:overflowPunct/>
              <w:topLinePunct w:val="0"/>
              <w:autoSpaceDE/>
              <w:autoSpaceDN/>
              <w:bidi w:val="0"/>
              <w:adjustRightInd w:val="0"/>
              <w:snapToGrid w:val="0"/>
              <w:ind w:left="2088"/>
              <w:jc w:val="both"/>
              <w:textAlignment w:val="auto"/>
              <w:rPr>
                <w:rFonts w:hint="eastAsia" w:ascii="宋体" w:hAnsi="宋体" w:eastAsia="宋体" w:cs="宋体"/>
                <w:sz w:val="21"/>
                <w:szCs w:val="21"/>
              </w:rPr>
            </w:pPr>
            <w:r>
              <w:rPr>
                <w:rFonts w:hint="eastAsia" w:ascii="宋体" w:hAnsi="宋体" w:eastAsia="宋体" w:cs="宋体"/>
                <w:b/>
                <w:bCs/>
                <w:spacing w:val="-21"/>
                <w:position w:val="3"/>
                <w:sz w:val="21"/>
                <w:szCs w:val="21"/>
              </w:rPr>
              <w:t>乙</w:t>
            </w:r>
            <w:r>
              <w:rPr>
                <w:rFonts w:hint="eastAsia" w:ascii="宋体" w:hAnsi="宋体" w:eastAsia="宋体" w:cs="宋体"/>
                <w:spacing w:val="-21"/>
                <w:position w:val="3"/>
                <w:sz w:val="21"/>
                <w:szCs w:val="21"/>
              </w:rPr>
              <w:t>`</w:t>
            </w:r>
            <w:r>
              <w:rPr>
                <w:rFonts w:hint="eastAsia" w:ascii="宋体" w:hAnsi="宋体" w:eastAsia="宋体" w:cs="宋体"/>
                <w:b/>
                <w:bCs/>
                <w:spacing w:val="-21"/>
                <w:position w:val="1"/>
                <w:sz w:val="21"/>
                <w:szCs w:val="21"/>
              </w:rPr>
              <w:t>方</w:t>
            </w:r>
            <w:r>
              <w:rPr>
                <w:rFonts w:hint="eastAsia" w:ascii="宋体" w:hAnsi="宋体" w:eastAsia="宋体" w:cs="宋体"/>
                <w:spacing w:val="-21"/>
                <w:position w:val="1"/>
                <w:sz w:val="21"/>
                <w:szCs w:val="21"/>
              </w:rPr>
              <w:t>`</w:t>
            </w:r>
            <w:r>
              <w:rPr>
                <w:rFonts w:hint="eastAsia" w:ascii="宋体" w:hAnsi="宋体" w:eastAsia="宋体" w:cs="宋体"/>
                <w:spacing w:val="-21"/>
                <w:sz w:val="21"/>
                <w:szCs w:val="21"/>
              </w:rPr>
              <w:t>`</w:t>
            </w:r>
          </w:p>
        </w:tc>
      </w:tr>
      <w:tr w14:paraId="7D2E0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jc w:val="center"/>
        </w:trPr>
        <w:tc>
          <w:tcPr>
            <w:tcW w:w="4660" w:type="dxa"/>
            <w:vAlign w:val="center"/>
          </w:tcPr>
          <w:p w14:paraId="49A8F566">
            <w:pPr>
              <w:keepNext w:val="0"/>
              <w:keepLines w:val="0"/>
              <w:pageBreakBefore w:val="0"/>
              <w:widowControl w:val="0"/>
              <w:kinsoku/>
              <w:wordWrap/>
              <w:overflowPunct/>
              <w:topLinePunct w:val="0"/>
              <w:autoSpaceDE/>
              <w:autoSpaceDN/>
              <w:bidi w:val="0"/>
              <w:adjustRightInd w:val="0"/>
              <w:snapToGrid w:val="0"/>
              <w:spacing w:before="100" w:line="360" w:lineRule="auto"/>
              <w:ind w:right="0" w:firstLine="388" w:firstLineChars="200"/>
              <w:jc w:val="center"/>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西安市发展和改革委员会</w:t>
            </w:r>
          </w:p>
          <w:p w14:paraId="611E9BE2">
            <w:pPr>
              <w:keepNext w:val="0"/>
              <w:keepLines w:val="0"/>
              <w:pageBreakBefore w:val="0"/>
              <w:widowControl w:val="0"/>
              <w:kinsoku/>
              <w:wordWrap/>
              <w:overflowPunct/>
              <w:topLinePunct w:val="0"/>
              <w:autoSpaceDE/>
              <w:autoSpaceDN/>
              <w:bidi w:val="0"/>
              <w:adjustRightInd w:val="0"/>
              <w:snapToGrid w:val="0"/>
              <w:spacing w:line="360" w:lineRule="auto"/>
              <w:ind w:right="0" w:firstLine="390" w:firstLineChars="200"/>
              <w:jc w:val="center"/>
              <w:textAlignment w:val="auto"/>
              <w:rPr>
                <w:rFonts w:hint="eastAsia" w:ascii="宋体" w:hAnsi="宋体" w:eastAsia="宋体" w:cs="宋体"/>
                <w:spacing w:val="-8"/>
                <w:sz w:val="21"/>
                <w:szCs w:val="21"/>
              </w:rPr>
            </w:pPr>
            <w:r>
              <w:rPr>
                <w:rFonts w:hint="eastAsia" w:ascii="宋体" w:hAnsi="宋体" w:eastAsia="宋体" w:cs="宋体"/>
                <w:b/>
                <w:bCs/>
                <w:spacing w:val="-8"/>
                <w:sz w:val="21"/>
                <w:szCs w:val="21"/>
              </w:rPr>
              <w:t>(盖章)</w:t>
            </w:r>
          </w:p>
        </w:tc>
        <w:tc>
          <w:tcPr>
            <w:tcW w:w="4659" w:type="dxa"/>
            <w:gridSpan w:val="2"/>
            <w:vAlign w:val="center"/>
          </w:tcPr>
          <w:p w14:paraId="4E6340B7">
            <w:pPr>
              <w:keepNext w:val="0"/>
              <w:keepLines w:val="0"/>
              <w:pageBreakBefore w:val="0"/>
              <w:widowControl w:val="0"/>
              <w:kinsoku/>
              <w:wordWrap/>
              <w:overflowPunct/>
              <w:topLinePunct w:val="0"/>
              <w:autoSpaceDE/>
              <w:autoSpaceDN/>
              <w:bidi w:val="0"/>
              <w:adjustRightInd w:val="0"/>
              <w:snapToGrid w:val="0"/>
              <w:spacing w:line="360" w:lineRule="auto"/>
              <w:ind w:right="0" w:firstLine="390" w:firstLineChars="200"/>
              <w:jc w:val="center"/>
              <w:textAlignment w:val="auto"/>
              <w:rPr>
                <w:rFonts w:hint="eastAsia" w:ascii="宋体" w:hAnsi="宋体" w:eastAsia="宋体" w:cs="宋体"/>
                <w:spacing w:val="-8"/>
                <w:sz w:val="21"/>
                <w:szCs w:val="21"/>
              </w:rPr>
            </w:pPr>
            <w:r>
              <w:rPr>
                <w:rFonts w:hint="eastAsia" w:ascii="宋体" w:hAnsi="宋体" w:eastAsia="宋体" w:cs="宋体"/>
                <w:b/>
                <w:bCs/>
                <w:spacing w:val="-8"/>
                <w:sz w:val="21"/>
                <w:szCs w:val="21"/>
              </w:rPr>
              <w:t>(盖章)</w:t>
            </w:r>
          </w:p>
        </w:tc>
      </w:tr>
      <w:tr w14:paraId="4B957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jc w:val="center"/>
        </w:trPr>
        <w:tc>
          <w:tcPr>
            <w:tcW w:w="4660" w:type="dxa"/>
            <w:vAlign w:val="center"/>
          </w:tcPr>
          <w:p w14:paraId="2C7780FF">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授权代表人(签字):</w:t>
            </w:r>
          </w:p>
        </w:tc>
        <w:tc>
          <w:tcPr>
            <w:tcW w:w="3246" w:type="dxa"/>
            <w:tcBorders>
              <w:right w:val="nil"/>
            </w:tcBorders>
            <w:vAlign w:val="center"/>
          </w:tcPr>
          <w:p w14:paraId="39B7395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法定代表人(签字):</w:t>
            </w:r>
          </w:p>
        </w:tc>
        <w:tc>
          <w:tcPr>
            <w:tcW w:w="1413" w:type="dxa"/>
            <w:tcBorders>
              <w:left w:val="nil"/>
            </w:tcBorders>
            <w:vAlign w:val="center"/>
          </w:tcPr>
          <w:p w14:paraId="32AC47C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p>
        </w:tc>
      </w:tr>
      <w:tr w14:paraId="487DE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4660" w:type="dxa"/>
            <w:vAlign w:val="center"/>
          </w:tcPr>
          <w:p w14:paraId="74F4893B">
            <w:pPr>
              <w:keepNext w:val="0"/>
              <w:keepLines w:val="0"/>
              <w:pageBreakBefore w:val="0"/>
              <w:widowControl w:val="0"/>
              <w:kinsoku/>
              <w:wordWrap/>
              <w:overflowPunct/>
              <w:topLinePunct w:val="0"/>
              <w:autoSpaceDE/>
              <w:autoSpaceDN/>
              <w:bidi w:val="0"/>
              <w:adjustRightInd w:val="0"/>
              <w:snapToGrid w:val="0"/>
              <w:spacing w:before="100" w:line="360" w:lineRule="auto"/>
              <w:ind w:right="0" w:firstLine="388" w:firstLineChars="200"/>
              <w:jc w:val="both"/>
              <w:textAlignment w:val="auto"/>
              <w:rPr>
                <w:rFonts w:hint="eastAsia" w:ascii="宋体" w:hAnsi="宋体" w:eastAsia="宋体" w:cs="宋体"/>
                <w:spacing w:val="-8"/>
                <w:sz w:val="21"/>
                <w:szCs w:val="21"/>
                <w:lang w:eastAsia="zh-CN"/>
              </w:rPr>
            </w:pPr>
            <w:r>
              <w:rPr>
                <w:rFonts w:hint="eastAsia" w:ascii="宋体" w:hAnsi="宋体" w:eastAsia="宋体" w:cs="宋体"/>
                <w:spacing w:val="-8"/>
                <w:sz w:val="21"/>
                <w:szCs w:val="21"/>
              </w:rPr>
              <w:t>处室(单位)负责人(签字</w:t>
            </w:r>
            <w:r>
              <w:rPr>
                <w:rFonts w:hint="eastAsia" w:ascii="宋体" w:hAnsi="宋体" w:eastAsia="宋体" w:cs="宋体"/>
                <w:spacing w:val="-8"/>
                <w:sz w:val="21"/>
                <w:szCs w:val="21"/>
                <w:lang w:eastAsia="zh-CN"/>
              </w:rPr>
              <w:t>）：</w:t>
            </w:r>
          </w:p>
          <w:p w14:paraId="3A4CC757">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经办人(签字):</w:t>
            </w:r>
          </w:p>
          <w:p w14:paraId="65AC2EFB">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经办人联系电话：</w:t>
            </w:r>
          </w:p>
        </w:tc>
        <w:tc>
          <w:tcPr>
            <w:tcW w:w="4659" w:type="dxa"/>
            <w:gridSpan w:val="2"/>
            <w:vAlign w:val="center"/>
          </w:tcPr>
          <w:p w14:paraId="4CB38DD0">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经办人(签字):</w:t>
            </w:r>
          </w:p>
          <w:p w14:paraId="724B8246">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联系电话：</w:t>
            </w:r>
          </w:p>
        </w:tc>
      </w:tr>
      <w:tr w14:paraId="57556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4660" w:type="dxa"/>
            <w:vAlign w:val="center"/>
          </w:tcPr>
          <w:p w14:paraId="1C116395">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地址：西安市凤城八路109号7号楼</w:t>
            </w:r>
          </w:p>
        </w:tc>
        <w:tc>
          <w:tcPr>
            <w:tcW w:w="4659" w:type="dxa"/>
            <w:gridSpan w:val="2"/>
            <w:vAlign w:val="center"/>
          </w:tcPr>
          <w:p w14:paraId="5D3ED66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地址：</w:t>
            </w:r>
          </w:p>
        </w:tc>
      </w:tr>
      <w:tr w14:paraId="6A658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4660" w:type="dxa"/>
            <w:vAlign w:val="center"/>
          </w:tcPr>
          <w:p w14:paraId="504387D0">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邮编：710000</w:t>
            </w:r>
          </w:p>
        </w:tc>
        <w:tc>
          <w:tcPr>
            <w:tcW w:w="4659" w:type="dxa"/>
            <w:gridSpan w:val="2"/>
            <w:vAlign w:val="center"/>
          </w:tcPr>
          <w:p w14:paraId="728B36E9">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邮编：</w:t>
            </w:r>
          </w:p>
        </w:tc>
      </w:tr>
      <w:tr w14:paraId="6B8E0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9" w:hRule="atLeast"/>
          <w:jc w:val="center"/>
        </w:trPr>
        <w:tc>
          <w:tcPr>
            <w:tcW w:w="4660" w:type="dxa"/>
            <w:vAlign w:val="center"/>
          </w:tcPr>
          <w:p w14:paraId="6A2493DD">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开票信息：</w:t>
            </w:r>
          </w:p>
          <w:p w14:paraId="407B8EAF">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组织机构代码证编号：116101000133530597</w:t>
            </w:r>
          </w:p>
          <w:p w14:paraId="26A7E33B">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地址：西安市凤城八路109号7号楼</w:t>
            </w:r>
          </w:p>
          <w:p w14:paraId="51F4F7A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电话：</w:t>
            </w:r>
          </w:p>
          <w:p w14:paraId="2E7B4484">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发票类型：普票</w:t>
            </w:r>
          </w:p>
        </w:tc>
        <w:tc>
          <w:tcPr>
            <w:tcW w:w="4659" w:type="dxa"/>
            <w:gridSpan w:val="2"/>
            <w:vAlign w:val="center"/>
          </w:tcPr>
          <w:p w14:paraId="4F7D570A">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r>
              <w:rPr>
                <w:rFonts w:hint="eastAsia" w:ascii="宋体" w:hAnsi="宋体" w:eastAsia="宋体" w:cs="宋体"/>
                <w:spacing w:val="-8"/>
                <w:sz w:val="21"/>
                <w:szCs w:val="21"/>
              </w:rPr>
              <w:t>收款信息：</w:t>
            </w:r>
          </w:p>
          <w:p w14:paraId="708FA38C">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1"/>
                <w:szCs w:val="21"/>
              </w:rPr>
            </w:pPr>
            <w:bookmarkStart w:id="0" w:name="_GoBack"/>
            <w:bookmarkEnd w:id="0"/>
          </w:p>
        </w:tc>
      </w:tr>
      <w:tr w14:paraId="16CF7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jc w:val="center"/>
        </w:trPr>
        <w:tc>
          <w:tcPr>
            <w:tcW w:w="4660" w:type="dxa"/>
            <w:vAlign w:val="top"/>
          </w:tcPr>
          <w:p w14:paraId="6D85E5A1">
            <w:pPr>
              <w:keepNext w:val="0"/>
              <w:keepLines w:val="0"/>
              <w:pageBreakBefore w:val="0"/>
              <w:widowControl w:val="0"/>
              <w:kinsoku/>
              <w:wordWrap/>
              <w:overflowPunct/>
              <w:topLinePunct w:val="0"/>
              <w:autoSpaceDE/>
              <w:autoSpaceDN/>
              <w:bidi w:val="0"/>
              <w:adjustRightInd w:val="0"/>
              <w:snapToGrid w:val="0"/>
              <w:spacing w:line="360" w:lineRule="auto"/>
              <w:ind w:right="0" w:firstLine="388" w:firstLineChars="200"/>
              <w:jc w:val="both"/>
              <w:textAlignment w:val="auto"/>
              <w:rPr>
                <w:rFonts w:hint="eastAsia" w:ascii="宋体" w:hAnsi="宋体" w:eastAsia="宋体" w:cs="宋体"/>
                <w:spacing w:val="-8"/>
                <w:sz w:val="24"/>
                <w:szCs w:val="24"/>
              </w:rPr>
            </w:pPr>
            <w:r>
              <w:rPr>
                <w:rFonts w:hint="eastAsia" w:ascii="宋体" w:hAnsi="宋体" w:eastAsia="宋体" w:cs="宋体"/>
                <w:spacing w:val="-8"/>
                <w:sz w:val="21"/>
                <w:szCs w:val="21"/>
              </w:rPr>
              <w:t>日 期 ：</w:t>
            </w:r>
          </w:p>
        </w:tc>
        <w:tc>
          <w:tcPr>
            <w:tcW w:w="4659" w:type="dxa"/>
            <w:gridSpan w:val="2"/>
            <w:vAlign w:val="top"/>
          </w:tcPr>
          <w:p w14:paraId="4DD01B99">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p>
        </w:tc>
      </w:tr>
    </w:tbl>
    <w:p w14:paraId="3875B344">
      <w:pPr>
        <w:keepNext w:val="0"/>
        <w:keepLines w:val="0"/>
        <w:pageBreakBefore w:val="0"/>
        <w:widowControl w:val="0"/>
        <w:kinsoku/>
        <w:wordWrap/>
        <w:overflowPunct/>
        <w:topLinePunct w:val="0"/>
        <w:autoSpaceDE/>
        <w:autoSpaceDN/>
        <w:bidi w:val="0"/>
        <w:adjustRightInd w:val="0"/>
        <w:snapToGrid w:val="0"/>
        <w:spacing w:line="360" w:lineRule="auto"/>
        <w:ind w:right="0" w:firstLine="448" w:firstLineChars="200"/>
        <w:textAlignment w:val="auto"/>
        <w:rPr>
          <w:rFonts w:hint="eastAsia" w:ascii="宋体" w:hAnsi="宋体" w:eastAsia="宋体" w:cs="宋体"/>
          <w:spacing w:val="-8"/>
          <w:sz w:val="24"/>
          <w:szCs w:val="24"/>
        </w:rPr>
      </w:pPr>
    </w:p>
    <w:p w14:paraId="44694EE6">
      <w:pPr>
        <w:spacing w:line="243" w:lineRule="auto"/>
        <w:rPr>
          <w:rFonts w:ascii="Arial"/>
          <w:sz w:val="21"/>
        </w:rPr>
      </w:pPr>
    </w:p>
    <w:p w14:paraId="1A39B741">
      <w:pPr>
        <w:spacing w:line="243" w:lineRule="auto"/>
        <w:rPr>
          <w:rFonts w:ascii="Arial"/>
          <w:sz w:val="21"/>
        </w:rPr>
      </w:pPr>
    </w:p>
    <w:p w14:paraId="355AAD95">
      <w:pPr>
        <w:rPr>
          <w:rFonts w:ascii="Arial"/>
          <w:sz w:val="21"/>
        </w:rPr>
      </w:pPr>
    </w:p>
    <w:p w14:paraId="05EDF04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1604A">
    <w:pPr>
      <w:spacing w:line="214" w:lineRule="auto"/>
      <w:ind w:left="3009"/>
      <w:rPr>
        <w:rFonts w:ascii="宋体" w:hAnsi="宋体" w:eastAsia="宋体" w:cs="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8443F">
    <w:pPr>
      <w:spacing w:line="214" w:lineRule="auto"/>
      <w:rPr>
        <w:rFonts w:ascii="宋体" w:hAnsi="宋体" w:eastAsia="宋体" w:cs="宋体"/>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9E35B">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AA9E35B">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7838">
    <w:pPr>
      <w:spacing w:line="14" w:lineRule="auto"/>
      <w:rPr>
        <w:rFonts w:ascii="Arial"/>
        <w:sz w:val="2"/>
      </w:rPr>
    </w:pPr>
    <w:r>
      <w:drawing>
        <wp:anchor distT="0" distB="0" distL="114300" distR="114300" simplePos="0" relativeHeight="251659264" behindDoc="1" locked="0" layoutInCell="0" allowOverlap="1">
          <wp:simplePos x="0" y="0"/>
          <wp:positionH relativeFrom="page">
            <wp:posOffset>1465580</wp:posOffset>
          </wp:positionH>
          <wp:positionV relativeFrom="page">
            <wp:posOffset>494030</wp:posOffset>
          </wp:positionV>
          <wp:extent cx="1315720" cy="1137920"/>
          <wp:effectExtent l="0" t="0" r="17780" b="5080"/>
          <wp:wrapNone/>
          <wp:docPr id="7" name="WordPictureWatermark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4"/>
                  <pic:cNvPicPr>
                    <a:picLocks noChangeAspect="1"/>
                  </pic:cNvPicPr>
                </pic:nvPicPr>
                <pic:blipFill>
                  <a:blip r:embed="rId1"/>
                  <a:stretch>
                    <a:fillRect/>
                  </a:stretch>
                </pic:blipFill>
                <pic:spPr>
                  <a:xfrm>
                    <a:off x="0" y="0"/>
                    <a:ext cx="1315720" cy="113792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3E18D3"/>
    <w:rsid w:val="032D1B6B"/>
    <w:rsid w:val="1B5F5A88"/>
    <w:rsid w:val="223E18D3"/>
    <w:rsid w:val="2C6737E2"/>
    <w:rsid w:val="2D0E579C"/>
    <w:rsid w:val="35623490"/>
    <w:rsid w:val="3B893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黑体" w:hAnsi="黑体" w:eastAsia="黑体" w:cs="黑体"/>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3"/>
      <w:szCs w:val="23"/>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金山软件</Company>
  <Pages>8</Pages>
  <Words>4483</Words>
  <Characters>4604</Characters>
  <Lines>0</Lines>
  <Paragraphs>0</Paragraphs>
  <TotalTime>1</TotalTime>
  <ScaleCrop>false</ScaleCrop>
  <LinksUpToDate>false</LinksUpToDate>
  <CharactersWithSpaces>4802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2026-06-18T05:42:00Z</dcterms:created>
  <dc:creator>歪果仁</dc:creator>
  <cp:lastModifiedBy>歪果仁</cp:lastModifiedBy>
  <dcterms:modified xsi:type="dcterms:W3CDTF">2026-06-18T08:31:28Z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FE795BD281F54E00829CFB5156905066_11</vt:lpwstr>
  </property>
  <property fmtid="{D5CDD505-2E9C-101B-9397-08002B2CF9AE}" pid="4" name="KSOTemplateDocerSaveRecord">
    <vt:lpwstr>eyJoZGlkIjoiY2YzNGRmNjZjY2ZlMzU5M2Y2MjJmNzNlN2NlZmY2YzEiLCJ1c2VySWQiOiIzMzkxMTc5NjcifQ==</vt:lpwstr>
  </property>
</Properties>
</file>