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E0BB37">
      <w:pPr>
        <w:pStyle w:val="4"/>
        <w:jc w:val="center"/>
        <w:outlineLvl w:val="1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采购需求</w:t>
      </w:r>
      <w:bookmarkStart w:id="0" w:name="_GoBack"/>
      <w:bookmarkEnd w:id="0"/>
    </w:p>
    <w:p w14:paraId="4AC48D16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技术要求</w:t>
      </w:r>
    </w:p>
    <w:p w14:paraId="470535D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8E080F4">
      <w:pPr>
        <w:pStyle w:val="4"/>
      </w:pPr>
      <w:r>
        <w:rPr>
          <w:rFonts w:ascii="仿宋_GB2312" w:hAnsi="仿宋_GB2312" w:eastAsia="仿宋_GB2312" w:cs="仿宋_GB2312"/>
        </w:rPr>
        <w:t>标的名称：总有机碳分析仪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6"/>
        <w:gridCol w:w="2347"/>
        <w:gridCol w:w="3829"/>
      </w:tblGrid>
      <w:tr w14:paraId="367C77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AB83A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3514A6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59957D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E9D3C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B905F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19017C38"/>
        </w:tc>
        <w:tc>
          <w:tcPr>
            <w:tcW w:w="2769" w:type="dxa"/>
          </w:tcPr>
          <w:tbl>
            <w:tblPr>
              <w:tblStyle w:val="2"/>
              <w:tblW w:w="0" w:type="auto"/>
              <w:tblInd w:w="13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2"/>
              <w:gridCol w:w="632"/>
              <w:gridCol w:w="1365"/>
              <w:gridCol w:w="492"/>
              <w:gridCol w:w="492"/>
            </w:tblGrid>
            <w:tr w14:paraId="45775C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8BE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序号</w:t>
                  </w:r>
                </w:p>
              </w:tc>
              <w:tc>
                <w:tcPr>
                  <w:tcW w:w="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621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货物名称</w:t>
                  </w:r>
                </w:p>
              </w:tc>
              <w:tc>
                <w:tcPr>
                  <w:tcW w:w="144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06EB4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技术参数</w:t>
                  </w:r>
                </w:p>
              </w:tc>
              <w:tc>
                <w:tcPr>
                  <w:tcW w:w="1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066E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数量</w:t>
                  </w:r>
                </w:p>
              </w:tc>
              <w:tc>
                <w:tcPr>
                  <w:tcW w:w="14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7DE7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单位</w:t>
                  </w:r>
                </w:p>
              </w:tc>
            </w:tr>
            <w:tr w14:paraId="44DB29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0F86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AFC3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总有机碳分析仪</w:t>
                  </w:r>
                  <w:r>
                    <w:rPr>
                      <w:rFonts w:ascii="仿宋_GB2312" w:hAnsi="仿宋_GB2312" w:eastAsia="仿宋_GB2312" w:cs="仿宋_GB2312"/>
                      <w:b/>
                      <w:sz w:val="21"/>
                    </w:rPr>
                    <w:t>（核心产品）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5440F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1.技术指标</w:t>
                  </w:r>
                </w:p>
                <w:p w14:paraId="4E40842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1.1该设备主要用于液体和固体样品的总有机碳、总碳、总无机碳，总氮定量分析</w:t>
                  </w:r>
                </w:p>
                <w:p w14:paraId="3C59416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1.2高温催化燃烧单元</w:t>
                  </w:r>
                </w:p>
                <w:p w14:paraId="70F6A6A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★1.2.1燃烧炉：燃烧炉温度800-1200℃可调，燃烧管直径≥26mm</w:t>
                  </w:r>
                </w:p>
                <w:p w14:paraId="6DD85D3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▲1.2.2耐盐：燃烧管中有灰分管等耐高盐装置，可以直接检测饱和盐水和海水</w:t>
                  </w:r>
                </w:p>
                <w:p w14:paraId="365C427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1.2.3液体样品中允许最大颗粒物：500um</w:t>
                  </w:r>
                </w:p>
                <w:p w14:paraId="6EAA079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1.2.4进样体积：液体进样体积覆盖0.05mL–2mL</w:t>
                  </w:r>
                </w:p>
                <w:p w14:paraId="445C093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▲1.2.5管路连接采用快接装置</w:t>
                  </w:r>
                </w:p>
                <w:p w14:paraId="70D5F9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1.2.6催化剂：Pt复合催化剂</w:t>
                  </w:r>
                </w:p>
                <w:p w14:paraId="164D10C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1.2.7 CO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bscript"/>
                    </w:rPr>
                    <w:t>2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碳检测器系统：具有抗SO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bscript"/>
                    </w:rPr>
                    <w:t>2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干扰功能</w:t>
                  </w:r>
                </w:p>
                <w:p w14:paraId="42D2BE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★1.2.8测量范围：TOC： 0–100000 mg/L(非稀释状态)</w:t>
                  </w:r>
                </w:p>
                <w:p w14:paraId="135AE61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1.2.9重现性：TOC： ≤1.5%</w:t>
                  </w:r>
                </w:p>
                <w:p w14:paraId="2A5842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1.2.10液体自动进样系统</w:t>
                  </w:r>
                </w:p>
                <w:p w14:paraId="0BBF99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▲1.2.10.1 ≥55个样品位，每位体积≥40ml</w:t>
                  </w:r>
                </w:p>
                <w:p w14:paraId="3227B90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1.2.10.2样品位具有磁性搅拌功能</w:t>
                  </w:r>
                </w:p>
                <w:p w14:paraId="35FD63A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1.2.10.3 自动注射泵进样，进样体积可调</w:t>
                  </w:r>
                </w:p>
                <w:p w14:paraId="3D872E5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1.2.11总氮分析模块</w:t>
                  </w:r>
                </w:p>
                <w:p w14:paraId="7BB8A71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1.2.11.1检测器：电化学检测器</w:t>
                  </w:r>
                </w:p>
                <w:p w14:paraId="4BBF9FA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1.2.11.2检测下限≤0.01mg/L</w:t>
                  </w:r>
                </w:p>
                <w:p w14:paraId="5816C16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1.2.12固体分析附件及自动进样器</w:t>
                  </w:r>
                </w:p>
                <w:p w14:paraId="2EC6206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1.2.12.1使用垂直炉加热，样品在石英燃烧管中燃烧，燃烧温度：800-1200℃</w:t>
                  </w:r>
                </w:p>
                <w:p w14:paraId="0D438EB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★1.2.12.2 ≥55位固体自动进样器  </w:t>
                  </w:r>
                </w:p>
                <w:p w14:paraId="680FDC3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1.2.13软件系统：自动校准、自动检测、自动诊断、自动维护提醒</w:t>
                  </w:r>
                </w:p>
                <w:p w14:paraId="4285DB4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2.配置清单</w:t>
                  </w:r>
                </w:p>
                <w:p w14:paraId="7BC904E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2.1总有机碳分析仪主机                     1套</w:t>
                  </w:r>
                </w:p>
                <w:p w14:paraId="7B352B7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2.2 总氮分析模块                                1套</w:t>
                  </w:r>
                </w:p>
                <w:p w14:paraId="478D926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2.3液体自动进样器                             1套</w:t>
                  </w:r>
                </w:p>
                <w:p w14:paraId="7588FD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2.4固体自动进样器                             1套</w:t>
                  </w:r>
                </w:p>
                <w:p w14:paraId="77C6B7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2.5压样工具器                                     1套</w:t>
                  </w:r>
                </w:p>
                <w:p w14:paraId="2EB0D70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2.6固体进样球阀                                 1套</w:t>
                  </w:r>
                </w:p>
                <w:p w14:paraId="5BD312D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2.7 1000次液体耗材和1000次固体耗材（含两根燃烧管，铂催化剂等）</w:t>
                  </w:r>
                </w:p>
                <w:p w14:paraId="06D3009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2.8数据处理模块 （处理器：≥双核2.4GHz，内存≥16G RAM，硬盘≥500G，显示器：≥27英寸液晶）    1套                 </w:t>
                  </w:r>
                </w:p>
                <w:p w14:paraId="3F5BF42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2.9 40升高纯氧气瓶和高精度二级减压表        1套</w:t>
                  </w:r>
                </w:p>
                <w:p w14:paraId="083816A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3.其他要求</w:t>
                  </w:r>
                </w:p>
                <w:p w14:paraId="28A80B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3.1 燃烧炉需提供十年原厂质保</w:t>
                  </w:r>
                </w:p>
                <w:p w14:paraId="275A560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3.2 CO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bscript"/>
                    </w:rPr>
                    <w:t>2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碳检测器系统需提供十年原厂质保</w:t>
                  </w:r>
                </w:p>
              </w:tc>
              <w:tc>
                <w:tcPr>
                  <w:tcW w:w="1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B06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4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D5C11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套</w:t>
                  </w:r>
                </w:p>
              </w:tc>
            </w:tr>
          </w:tbl>
          <w:p w14:paraId="19CFA631"/>
        </w:tc>
      </w:tr>
    </w:tbl>
    <w:p w14:paraId="1067FAF2">
      <w:pPr>
        <w:pStyle w:val="4"/>
      </w:pPr>
      <w:r>
        <w:rPr>
          <w:rFonts w:ascii="仿宋_GB2312" w:hAnsi="仿宋_GB2312" w:eastAsia="仿宋_GB2312" w:cs="仿宋_GB2312"/>
        </w:rPr>
        <w:t>标的名称：电感耦合等离子体发射光谱仪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1"/>
        <w:gridCol w:w="2312"/>
        <w:gridCol w:w="3899"/>
      </w:tblGrid>
      <w:tr w14:paraId="20FCAB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17319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40A079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11D1A3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39F26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5B0B9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0C955B82"/>
        </w:tc>
        <w:tc>
          <w:tcPr>
            <w:tcW w:w="2769" w:type="dxa"/>
          </w:tcPr>
          <w:tbl>
            <w:tblPr>
              <w:tblStyle w:val="2"/>
              <w:tblW w:w="0" w:type="auto"/>
              <w:tblInd w:w="13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2"/>
              <w:gridCol w:w="492"/>
              <w:gridCol w:w="1575"/>
              <w:gridCol w:w="492"/>
              <w:gridCol w:w="492"/>
            </w:tblGrid>
            <w:tr w14:paraId="3AD1EA3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192E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序号</w:t>
                  </w:r>
                </w:p>
              </w:tc>
              <w:tc>
                <w:tcPr>
                  <w:tcW w:w="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D57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货物名称</w:t>
                  </w:r>
                </w:p>
              </w:tc>
              <w:tc>
                <w:tcPr>
                  <w:tcW w:w="144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3AE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技术参数</w:t>
                  </w:r>
                </w:p>
              </w:tc>
              <w:tc>
                <w:tcPr>
                  <w:tcW w:w="1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75B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数量</w:t>
                  </w:r>
                </w:p>
              </w:tc>
              <w:tc>
                <w:tcPr>
                  <w:tcW w:w="14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9087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8"/>
                    </w:rPr>
                    <w:t>单位</w:t>
                  </w:r>
                </w:p>
              </w:tc>
            </w:tr>
            <w:tr w14:paraId="41CF3E3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D1D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F23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电感耦合等离子体发射光谱仪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39AD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 技术指标</w:t>
                  </w:r>
                </w:p>
                <w:p w14:paraId="1754115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1.1 仪器总体要求：仪器必需包括高频发生器、等离子体及进样系统、分光系统、检测器、分析软件和计算机系统，全自动控制</w:t>
                  </w:r>
                </w:p>
                <w:p w14:paraId="468592A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 性能指标</w:t>
                  </w:r>
                </w:p>
                <w:p w14:paraId="3637EAA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 检测器</w:t>
                  </w:r>
                </w:p>
                <w:p w14:paraId="14CB79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1.2.1.1半导体制冷的固体检测器</w:t>
                  </w:r>
                </w:p>
                <w:p w14:paraId="331D5A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▲1.2.1.2 检测单元：≥4000000个检测单元，读取速度≥2MHz</w:t>
                  </w:r>
                </w:p>
                <w:p w14:paraId="270B1EA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▲1.2.1.3像素分辨率：≤0.002nm</w:t>
                  </w:r>
                </w:p>
                <w:p w14:paraId="63BDC9D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▲1.2.1.4 检测器制冷系统：工作温度：≤ -45℃，到达工作温度的时间：≤ 3分钟</w:t>
                  </w:r>
                </w:p>
                <w:p w14:paraId="4238E97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1.2.2 光学系统</w:t>
                  </w:r>
                </w:p>
                <w:p w14:paraId="78A437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1.2.2.1单色器：光栅和棱镜等内光路部件位置固定不动，在光谱仪全波长范围内一次曝光同时测定所有元素</w:t>
                  </w:r>
                </w:p>
                <w:p w14:paraId="7183F54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▲1.2.2.2 光室：恒温38℃±0.1℃，使用氩气或氮气进行光室吹扫，测定≤200nm谱线时驱气量≤3L/min</w:t>
                  </w:r>
                </w:p>
                <w:p w14:paraId="136D089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★1.2.2.3波长范围：必须包含167～820nm，全波长覆盖；</w:t>
                  </w:r>
                </w:p>
                <w:p w14:paraId="47D3547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1.2.2.4光学分辨率（半峰宽）：As189.042nm半峰宽≤0.007nm， Ca393.366nm半峰宽≤0.017nm，Ba614.172半峰宽≤0.024nm，K766.490nm半峰宽≤0.035nm</w:t>
                  </w:r>
                </w:p>
                <w:p w14:paraId="7D4D4F3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★1.2.2.5 焦距≤300mm</w:t>
                  </w:r>
                </w:p>
                <w:p w14:paraId="7AFA013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1.2.3 等离子体</w:t>
                  </w:r>
                </w:p>
                <w:p w14:paraId="4F400E6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1.2.3.1等离子体观察方式：炬管垂直放置，双向观测，在一次分析中同时给出水平和垂直观测的结果</w:t>
                  </w:r>
                </w:p>
                <w:p w14:paraId="71BF4B7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▲1.2.3.2 RF发生器：固态发生器，直接耦合、自动调谐，变频，等离子体线圈具有聚四氟乙烯保护层，无保护层的厂家需提供十套线圈以备更换</w:t>
                  </w:r>
                </w:p>
                <w:p w14:paraId="5A76FAF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★1.2.3.3 频率：27.12MHz</w:t>
                  </w:r>
                </w:p>
                <w:p w14:paraId="47E42F8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1.2.3.4气路控制：配置3路高精度质量流量计，精度0.01L/min</w:t>
                  </w:r>
                </w:p>
                <w:p w14:paraId="0ECFE91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▲1.2.3.5尾焰处理技术：采用锥内反吹氩气技术，氩气消耗量≤3L/min</w:t>
                  </w:r>
                </w:p>
                <w:p w14:paraId="03A8F7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1.2.4 进样系统</w:t>
                  </w:r>
                </w:p>
                <w:p w14:paraId="5C373A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1.2.4.1炬管：分体式石英炬管</w:t>
                  </w:r>
                </w:p>
                <w:p w14:paraId="11A7279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1.2.4.2雾化器：同心雾化器</w:t>
                  </w:r>
                </w:p>
                <w:p w14:paraId="79F77FA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1.2.4.3雾化室：旋流雾化室</w:t>
                  </w:r>
                </w:p>
                <w:p w14:paraId="5BF826D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▲1.2.4.4废液安全在线自动监控：有废液传感器，能对仪器状态进行实时自动的监控</w:t>
                  </w:r>
                </w:p>
                <w:p w14:paraId="3118493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1.2.4.5蠕动泵：≥3通道蠕动泵</w:t>
                  </w:r>
                </w:p>
                <w:p w14:paraId="74DD503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1.2.5 分析软件</w:t>
                  </w:r>
                </w:p>
                <w:p w14:paraId="5D4B513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1.2.5.1软件具有定性、半定量、定量分析功能</w:t>
                  </w:r>
                </w:p>
                <w:p w14:paraId="6DE59F0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1.2.5.2具有同时记录所有元素谱线的“摄谱”功能</w:t>
                  </w:r>
                </w:p>
                <w:p w14:paraId="44F8857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1.2.5.3 具有元素间干扰校正技术和实时背景扣除等干扰校正技术</w:t>
                  </w:r>
                </w:p>
                <w:p w14:paraId="04F7ECF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1.2.5.4 具有仪器诊断、网络通讯和数据再处理功能</w:t>
                  </w:r>
                </w:p>
                <w:p w14:paraId="47F272F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 分析性能</w:t>
                  </w:r>
                </w:p>
                <w:p w14:paraId="64DE617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▲1.2.6.1分析速度：≥每分钟70个元素或谱线，每条测量谱线的积分时间≥30秒</w:t>
                  </w:r>
                </w:p>
                <w:p w14:paraId="6970344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1.2.6.2样品消耗量：≤ 2ml，测定≥70个元素</w:t>
                  </w:r>
                </w:p>
                <w:p w14:paraId="102EECB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1.2.6.3谱线分析：可对分析元素的任何一条谱线进行定性、半定量和定量分析</w:t>
                  </w:r>
                </w:p>
                <w:p w14:paraId="60D7A7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1.2.6.4 测定谱线的线性动态范围：≥10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6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（以Mn257.6nm 来测定，相关系数≥0.9996）</w:t>
                  </w:r>
                </w:p>
                <w:p w14:paraId="463F2E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1.2.6.5内标校正：同时的内标校正，即内标元素和测量元素必须同时曝光</w:t>
                  </w:r>
                </w:p>
                <w:p w14:paraId="05BF9FE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1.2.6.6精密度：测定1ppm或10ppm多元素混合标准溶液，重复测定十次的RSD≤0.5%</w:t>
                  </w:r>
                </w:p>
                <w:p w14:paraId="18F1E29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1.2.6.7稳定性：测定1ppm或10ppm多元素混合标准溶液，不使用内标校正，连续测定4小时的长时间稳定性RSD＜1.0%</w:t>
                  </w:r>
                </w:p>
                <w:p w14:paraId="7E0D037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2.配置清单</w:t>
                  </w:r>
                </w:p>
                <w:p w14:paraId="2007DDC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2.1 电感耦合等离子体发射光谱仪主机                                                            1套                </w:t>
                  </w:r>
                </w:p>
                <w:p w14:paraId="7476F98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2.2 数据处理模块（处理器：≥双核2.4GHz以上，内存≥16G RAM，硬盘≥500G，显示器：≥27英寸液晶）           1套</w:t>
                  </w:r>
                </w:p>
                <w:p w14:paraId="096E22E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2.3 冷却循环水系统 （恒温范围：8～35℃，制冷量：1500W）                            1套</w:t>
                  </w:r>
                </w:p>
                <w:p w14:paraId="188B55A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2.4两年消耗品（除主机标配额外提供）含以下内容：</w:t>
                  </w:r>
                </w:p>
                <w:p w14:paraId="6A1A9F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石英炬管                               1套</w:t>
                  </w:r>
                </w:p>
                <w:p w14:paraId="124A305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水溶液石英中心管                 2根</w:t>
                  </w:r>
                </w:p>
                <w:p w14:paraId="3E9EFE0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蠕动泵管（进样）                 2包（6根/包）</w:t>
                  </w:r>
                </w:p>
                <w:p w14:paraId="3D44B68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蠕动泵管（废液）                     2包（6根/包）</w:t>
                  </w:r>
                </w:p>
                <w:p w14:paraId="610C98B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雾化器                                   1套</w:t>
                  </w:r>
                </w:p>
                <w:p w14:paraId="7B3C489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进样系统O型圈包                   1套</w:t>
                  </w:r>
                </w:p>
                <w:p w14:paraId="778A02D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进样系统管线消耗品包              1套</w:t>
                  </w:r>
                </w:p>
              </w:tc>
              <w:tc>
                <w:tcPr>
                  <w:tcW w:w="13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3C9C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4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76C1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套</w:t>
                  </w:r>
                </w:p>
              </w:tc>
            </w:tr>
          </w:tbl>
          <w:p w14:paraId="662AE708"/>
        </w:tc>
      </w:tr>
    </w:tbl>
    <w:p w14:paraId="6FA7A914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41F720D8"/>
    <w:rsid w:val="42406D8A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3074</Words>
  <Characters>3330</Characters>
  <Lines>0</Lines>
  <Paragraphs>0</Paragraphs>
  <TotalTime>0</TotalTime>
  <ScaleCrop>false</ScaleCrop>
  <LinksUpToDate>false</LinksUpToDate>
  <CharactersWithSpaces>3371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国创招标</cp:lastModifiedBy>
  <dcterms:modified xsi:type="dcterms:W3CDTF">2026-06-04T06:29:57Z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eyJoZGlkIjoiY2JiM2Q2YTNkZTc1Mjk4ODRhOWVjZTc0YTFmYTE5NzciLCJ1c2VySWQiOiIxMTQ2NDU0OTA0In0=</vt:lpwstr>
  </property>
  <property fmtid="{D5CDD505-2E9C-101B-9397-08002B2CF9AE}" pid="4" name="ICV">
    <vt:lpwstr>EE17E99A59CA4B6483D24D7A0013E5AB_12</vt:lpwstr>
  </property>
</Properties>
</file>