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9B570">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lang w:val="en-US" w:eastAsia="zh-CN" w:bidi="ar"/>
        </w:rPr>
        <w:t>榆林市工业和信息化局榆林市消费品行业中小企业数字化转型生态支撑服务项目(二次)竞争性谈判公告</w:t>
      </w:r>
    </w:p>
    <w:p w14:paraId="27241D8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322E39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榆林市消费品行业中小企业数字化转型生态支撑服务项目(二次)</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全国公共资源交易中心平台（陕西省.榆林市）CA锁自行下载</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2026年06月05日 13时30分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332B7C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7C11C0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项目编号：ZD-ZC-2026-02.1B1</w:t>
      </w:r>
    </w:p>
    <w:p w14:paraId="4AF96C5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项目名称：榆林市消费品行业中小企业数字化转型生态支撑服务项目(二次)</w:t>
      </w:r>
    </w:p>
    <w:p w14:paraId="100F17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采购方式：竞争性谈判</w:t>
      </w:r>
    </w:p>
    <w:p w14:paraId="5EDC5CF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预算金额：500,000.00元</w:t>
      </w:r>
    </w:p>
    <w:p w14:paraId="690033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6249D3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合同包1(榆林市工业和信息化局榆林市消费品行业中小企业数字化转型生态支撑服务项目（二次）):</w:t>
      </w:r>
    </w:p>
    <w:p w14:paraId="056F52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合同包预算金额：500,000.00元</w:t>
      </w:r>
    </w:p>
    <w:p w14:paraId="667C36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合同包最高限价：500,000.00元</w:t>
      </w:r>
    </w:p>
    <w:tbl>
      <w:tblPr>
        <w:tblStyle w:val="5"/>
        <w:tblW w:w="88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22"/>
        <w:gridCol w:w="1357"/>
        <w:gridCol w:w="3925"/>
        <w:gridCol w:w="718"/>
        <w:gridCol w:w="1064"/>
        <w:gridCol w:w="1290"/>
      </w:tblGrid>
      <w:tr w14:paraId="664F59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8" w:hRule="atLeast"/>
          <w:tblHeader/>
        </w:trPr>
        <w:tc>
          <w:tcPr>
            <w:tcW w:w="6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7D52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8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F4870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31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BD9BA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7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0DD6A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3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CB61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0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3A7F7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7BA7EEA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7B112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C1753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信息技术管理咨询服务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F036F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榆林市工业和信息化局榆林市消费品行业中小企业数字化 转型生态支撑服务项目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23664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5ACF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39104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500,000.00</w:t>
            </w:r>
          </w:p>
        </w:tc>
      </w:tr>
    </w:tbl>
    <w:p w14:paraId="18F026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6E4B89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合同履行期限：详见谈判文件</w:t>
      </w:r>
    </w:p>
    <w:p w14:paraId="7A034A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744BBE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4699E5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2AE108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合同包1(榆林市工业和信息化局榆林市消费品行业中小企业数字化转型生态支撑服务项目（二次）)落实政府采购政策需满足的资格要求如下:</w:t>
      </w:r>
    </w:p>
    <w:p w14:paraId="2F3558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2.1《政府采购促进中小企业发展管理办法》的通知--财库〔2020〕46号；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2.4《陕西省财政厅关于进一步加大政府采购支持中小企业力度的通知》（陕财办采〔2022〕5号）；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2.5《榆林市财政局关于进一步加大政府采购支持中小企业力度的通知》（榆政财采发〔2022〕10号）；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2.6《陕西省财政厅关于印发《陕西省中小企业政府采购信用融资办法》（陕财办采〔2018〕23号）；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2.7《财政部民政部中国残疾人联合会关于促进残疾人就业政府采购政策的通知》（财库〔2017〕141号）；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2.8《关于在政府采购活动中查询及使用信用记录有关问题的通知》（财库〔2016〕125号；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2.9《节能产品政府采购实施意见》（财库[2004]185号）；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2.10《环境标志产品政府采购实施的意见》（财库[2006]90号）；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2.11陕西省财政厅关于进一步落实政府采购支持中小企业相关政策的通知-陕财办采〔2023〕3号；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2.12陕西省财政厅关于进一步优化政府采购营商环境有关事项的通知-陕财办采〔2023〕4号；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2.13其他需要落实的政府采购政策。</w:t>
      </w:r>
    </w:p>
    <w:p w14:paraId="67E29A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6163FE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合同包1(榆林市工业和信息化局榆林市消费品行业中小企业数字化转型生态支撑服务项目（二次）)特定资格要求如下:</w:t>
      </w:r>
    </w:p>
    <w:p w14:paraId="2C28DE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3.1、在中华人民共和国境内注册，依法取得并有效存续的营业执照（含电子营业执照）\事业单位法人证书\民办非企业单位登记证书\非企业专业服务机构执业许可证等；</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3.2、财务状况报告：须提供经会计事务所或审计机构出具的2024年或2025年完整的财务审计（注：带二维码可查验，提供的财务审计报告需在注册会计师行业统一监管平台（http://acc.mof.gov.cn/）可查询并提供网页查询截图）；公司成立不足一年的提供成立以来的财务报表，至少包括资产负债表、利润表、现金流量表及基本账户银行出具的资信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3.3、税收缴纳证明：提供 2025年6月至今至少一个月的纳税证明（银行缴费凭证）或完税证明（时间以税款所属日期为准、税种须包含增值税或企业所得税或营业税），依法免税的单位应提供相关证明材料；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3.4、社会保障资金缴纳证明：提供2025年6月份至今已缴存的至少一个月的社会保障资金缴存单据，依法不需要缴纳社会保障资金的单位应提供相关证明材料；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3.5、参加政府采购活动前3年内，在经营活动中没有重大违法记录的书面声明；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3.6、供应商提供在投标截止日前在信用中国网（www.creditchina.gov.cn）未被列入失信被执行人、重大税收违法失信主体和在中国政府采购网（www.ccgp.gov.cn）未被列入政府采购严重违法失信行为记录名单；须提供信用中国网下载的供应商信用信息信用报告及相对应的网站网查截图（查询日期为从发公告之日起至投标截止日前查询结果为准）；</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3.7、本项目不专门面向中小企业采购；</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3.8、本合同包不接受联合体投标，须提供非联合体投标声明；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3.9、单位负责人为同一人或者存在直接控股、管理关系的不同供应商，不得参加同一合同项下的政府采购活动，须提供控股管理关系说明。</w:t>
      </w:r>
    </w:p>
    <w:p w14:paraId="365A02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7C4DCC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2026年06月02日 至 2026年06月04日 ，每天上午 08:00:00 至 12:00:00 ，下午 12:00:00 至 18:00:00 （北京时间）</w:t>
      </w:r>
    </w:p>
    <w:p w14:paraId="3862C5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全国公共资源交易中心平台（陕西省.榆林市）CA锁自行下载</w:t>
      </w:r>
    </w:p>
    <w:p w14:paraId="7E383F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在线获取</w:t>
      </w:r>
    </w:p>
    <w:p w14:paraId="389A1A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免费获取</w:t>
      </w:r>
    </w:p>
    <w:p w14:paraId="2DC717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0CF2FB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2026年06月05日 13时30分00秒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265BEF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登录全国公共资源交易中心平台（陕西省）在线提交</w:t>
      </w:r>
    </w:p>
    <w:p w14:paraId="5D0E670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5FEAF5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2026年06月05日 13时30分00秒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699A30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榆林市公共资源交易中心18楼开标室1801A</w:t>
      </w:r>
    </w:p>
    <w:p w14:paraId="534576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20C45B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409CC0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7BD715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1、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604B66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2、供应商可登录全国公共资源交易中心平台（陕西省）（http://www.sxggzyjy.cn/）,选择“电子交易平台-陕西政府采购交易系统-陕西省公共资源交易平台-供应商”进行登录，登录后选择“交易乙方”身份进入供应商界面进行报名并免费下载竞争性谈判文件。CA锁购买：市民大厦3楼，E18、E19窗口，联系电话：0912-3452148。</w:t>
      </w:r>
    </w:p>
    <w:p w14:paraId="4AA77E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3、本项目采用电子化招投标方式和“不见面”开标形式，供应商使用数字认证证书（CA锁）对响应文件进行签章、加密、递交及开标时解密等相关招投标事宜。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电子响应文件制作软件技术支持热线：400-998-0000，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w:t>
      </w:r>
    </w:p>
    <w:p w14:paraId="170BF2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4、请供应商按照陕西省财政厅关于政府采购供应商注册登记有关事项的通知中的要求，通过陕西省政府采购网（http://www.ccgp-shaanxi.gov.cn/）注册登记加入陕西省政府采购供应商库。</w:t>
      </w:r>
    </w:p>
    <w:p w14:paraId="643957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5、供应商应随时关注发布的变更公告，当澄清或修改的内容影响响应文件编制时，将在交易平台上同步发布答疑文件，此时供应商应从“项目流程·〉答疑文件下载”下载最新发布的答疑文件（*.SXSCF格式），并使用该文件重新编制电子响应文件（*.SXSTF格式），使用旧版电子竞争性谈判文件或旧版答疑文件制作的电子响应文件，系统将拒绝接收。</w:t>
      </w:r>
    </w:p>
    <w:p w14:paraId="733285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49833C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43C0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榆林市工业和信息化局</w:t>
      </w:r>
    </w:p>
    <w:p w14:paraId="76D96A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榆林市青山中路市政府2号楼</w:t>
      </w:r>
    </w:p>
    <w:p w14:paraId="46F9EC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13239270231</w:t>
      </w:r>
    </w:p>
    <w:p w14:paraId="119F105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11EE9B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正大鹏安建设项目管理有限公司</w:t>
      </w:r>
    </w:p>
    <w:p w14:paraId="1DCD93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陕西省榆林市榆阳区领航·君宸B</w:t>
      </w:r>
      <w:bookmarkStart w:id="0" w:name="_GoBack"/>
      <w:bookmarkEnd w:id="0"/>
      <w:r>
        <w:rPr>
          <w:rFonts w:hint="eastAsia" w:ascii="微软雅黑" w:hAnsi="微软雅黑" w:eastAsia="微软雅黑" w:cs="微软雅黑"/>
          <w:i w:val="0"/>
          <w:iCs w:val="0"/>
          <w:caps w:val="0"/>
          <w:color w:val="0A82E5"/>
          <w:spacing w:val="0"/>
          <w:sz w:val="21"/>
          <w:szCs w:val="21"/>
          <w:shd w:val="clear" w:fill="FFFFFF"/>
        </w:rPr>
        <w:t>4号楼101负一</w:t>
      </w:r>
    </w:p>
    <w:p w14:paraId="3F5E80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ascii="微软雅黑" w:hAnsi="微软雅黑" w:eastAsia="微软雅黑" w:cs="微软雅黑"/>
          <w:i w:val="0"/>
          <w:iCs w:val="0"/>
          <w:caps w:val="0"/>
          <w:color w:val="0A82E5"/>
          <w:spacing w:val="0"/>
          <w:sz w:val="21"/>
          <w:szCs w:val="21"/>
          <w:shd w:val="clear" w:fill="FFFFFF"/>
        </w:rPr>
        <w:t>13772392758</w:t>
      </w:r>
    </w:p>
    <w:p w14:paraId="1839097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0AD9C1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马咄</w:t>
      </w:r>
    </w:p>
    <w:p w14:paraId="2EE49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13772392758</w:t>
      </w:r>
    </w:p>
    <w:p w14:paraId="68A54E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正大鹏安建设项目管理有限公司</w:t>
      </w:r>
    </w:p>
    <w:p w14:paraId="26DC5B82">
      <w:pPr>
        <w:keepNext w:val="0"/>
        <w:keepLines w:val="0"/>
        <w:widowControl/>
        <w:suppressLineNumbers w:val="0"/>
        <w:wordWrap w:val="0"/>
        <w:spacing w:line="480" w:lineRule="atLeast"/>
        <w:jc w:val="righ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2026年06月01日</w:t>
      </w:r>
    </w:p>
    <w:p w14:paraId="5E2DE367">
      <w:pPr>
        <w:rPr>
          <w:rFonts w:hint="eastAsia" w:eastAsiaTheme="minorEastAsia"/>
          <w:lang w:eastAsia="zh-CN"/>
        </w:rPr>
      </w:pPr>
      <w:r>
        <w:rPr>
          <w:rFonts w:hint="eastAsia" w:eastAsiaTheme="minorEastAsia"/>
          <w:lang w:eastAsia="zh-CN"/>
        </w:rPr>
        <w:drawing>
          <wp:inline distT="0" distB="0" distL="114300" distR="114300">
            <wp:extent cx="5273675" cy="7458075"/>
            <wp:effectExtent l="0" t="0" r="3175" b="9525"/>
            <wp:docPr id="4" name="图片 4" descr="SKM_C26626052809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KM_C26626052809380"/>
                    <pic:cNvPicPr>
                      <a:picLocks noChangeAspect="1"/>
                    </pic:cNvPicPr>
                  </pic:nvPicPr>
                  <pic:blipFill>
                    <a:blip r:embed="rId4"/>
                    <a:stretch>
                      <a:fillRect/>
                    </a:stretch>
                  </pic:blipFill>
                  <pic:spPr>
                    <a:xfrm>
                      <a:off x="0" y="0"/>
                      <a:ext cx="5273675" cy="745807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DC412C"/>
    <w:rsid w:val="158D1367"/>
    <w:rsid w:val="179130B8"/>
    <w:rsid w:val="37182A56"/>
    <w:rsid w:val="42AE24C0"/>
    <w:rsid w:val="489509A3"/>
    <w:rsid w:val="52DC412C"/>
    <w:rsid w:val="5DEA1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2951</Words>
  <Characters>3410</Characters>
  <Lines>0</Lines>
  <Paragraphs>0</Paragraphs>
  <TotalTime>3</TotalTime>
  <ScaleCrop>false</ScaleCrop>
  <LinksUpToDate>false</LinksUpToDate>
  <CharactersWithSpaces>3434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2026-05-28T01:27:00Z</dcterms:created>
  <dc:creator>Administrator</dc:creator>
  <cp:lastModifiedBy>Administrator</cp:lastModifiedBy>
  <dcterms:modified xsi:type="dcterms:W3CDTF">2026-06-01T00:51:56Z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4EB47E46845A4096B5B9E21052A38E05_11</vt:lpwstr>
  </property>
  <property fmtid="{D5CDD505-2E9C-101B-9397-08002B2CF9AE}" pid="4" name="KSOTemplateDocerSaveRecord">
    <vt:lpwstr>eyJoZGlkIjoiOWFiZjEzNGUxMzU2OWMyZGI1NWQ3MWU4MDljYWZkNGQiLCJ1c2VySWQiOiIzNDYxMjM2NjgifQ==</vt:lpwstr>
  </property>
</Properties>
</file>