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6C072F67">
      <w:pPr>
        <w:rPr>
          <w:rFonts w:hint="eastAsia" w:ascii="仿宋" w:hAnsi="仿宋" w:eastAsia="仿宋" w:cs="仿宋"/>
          <w:b/>
          <w:bCs/>
          <w:color w:val="auto"/>
          <w:sz w:val="24"/>
          <w:szCs w:val="24"/>
        </w:rPr>
      </w:pPr>
      <w:r>
        <w:rPr>
          <w:rFonts w:ascii="仿宋_GB2312" w:hAnsi="仿宋_GB2312" w:eastAsia="仿宋_GB2312" w:cs="仿宋_GB2312"/>
          <w:color w:val="auto"/>
        </w:rPr>
        <w:br w:type="textWrapping"/>
      </w:r>
      <w:r>
        <w:rPr>
          <w:rFonts w:hint="eastAsia" w:ascii="仿宋" w:hAnsi="仿宋" w:eastAsia="仿宋" w:cs="仿宋"/>
          <w:b/>
          <w:bCs/>
          <w:color w:val="auto"/>
          <w:sz w:val="24"/>
          <w:szCs w:val="24"/>
        </w:rPr>
        <w:t xml:space="preserve">                   </w:t>
      </w:r>
    </w:p>
    <w:p w14:paraId="37FBA9F3">
      <w:pPr>
        <w:spacing w:line="500" w:lineRule="exact"/>
        <w:ind w:right="-2"/>
        <w:jc w:val="both"/>
        <w:rPr>
          <w:rFonts w:hint="eastAsia" w:ascii="仿宋" w:hAnsi="仿宋" w:eastAsia="仿宋" w:cs="仿宋"/>
          <w:b/>
          <w:bCs/>
          <w:color w:val="auto"/>
          <w:sz w:val="36"/>
          <w:szCs w:val="36"/>
          <w:lang w:eastAsia="zh-CN"/>
        </w:rPr>
      </w:pPr>
    </w:p>
    <w:p w14:paraId="74C8C67D">
      <w:pPr>
        <w:spacing w:before="120" w:line="360" w:lineRule="auto"/>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t>政 府 采 购</w:t>
      </w:r>
      <w:bookmarkStart w:id="14" w:name="_GoBack"/>
      <w:bookmarkEnd w:id="14"/>
      <w:r>
        <w:rPr>
          <w:rFonts w:hint="eastAsia" w:ascii="宋体" w:hAnsi="宋体" w:eastAsia="宋体" w:cs="宋体"/>
          <w:b/>
          <w:bCs/>
          <w:color w:val="auto"/>
          <w:sz w:val="48"/>
          <w:szCs w:val="48"/>
          <w:highlight w:val="none"/>
        </w:rPr>
        <w:t xml:space="preserve"> 合 同</w:t>
      </w:r>
    </w:p>
    <w:p w14:paraId="330824B1">
      <w:pPr>
        <w:spacing w:before="120" w:line="360" w:lineRule="auto"/>
        <w:jc w:val="center"/>
        <w:rPr>
          <w:rFonts w:hint="eastAsia" w:ascii="宋体" w:hAnsi="宋体" w:eastAsia="宋体" w:cs="宋体"/>
          <w:color w:val="auto"/>
          <w:sz w:val="28"/>
          <w:szCs w:val="28"/>
          <w:highlight w:val="none"/>
          <w:lang w:eastAsia="zh-CN"/>
        </w:rPr>
      </w:pPr>
      <w:r>
        <w:rPr>
          <w:rFonts w:hint="eastAsia" w:cs="宋体"/>
          <w:color w:val="auto"/>
          <w:sz w:val="28"/>
          <w:szCs w:val="28"/>
          <w:highlight w:val="none"/>
          <w:lang w:eastAsia="zh-CN"/>
        </w:rPr>
        <w:t>（参考文本）</w:t>
      </w:r>
    </w:p>
    <w:p w14:paraId="095E006B">
      <w:pPr>
        <w:spacing w:before="120" w:line="360" w:lineRule="auto"/>
        <w:ind w:firstLine="3064" w:firstLineChars="1090"/>
        <w:outlineLvl w:val="9"/>
        <w:rPr>
          <w:rFonts w:hint="eastAsia" w:ascii="宋体" w:hAnsi="宋体" w:eastAsia="宋体" w:cs="宋体"/>
          <w:b/>
          <w:bCs/>
          <w:color w:val="auto"/>
          <w:sz w:val="28"/>
          <w:szCs w:val="28"/>
          <w:highlight w:val="none"/>
        </w:rPr>
      </w:pPr>
      <w:bookmarkStart w:id="0" w:name="_Toc10857"/>
      <w:bookmarkStart w:id="1" w:name="_Toc109543216"/>
      <w:bookmarkStart w:id="2" w:name="_Toc9576"/>
      <w:bookmarkStart w:id="3" w:name="_Toc109542396"/>
    </w:p>
    <w:p w14:paraId="512B5506">
      <w:pPr>
        <w:spacing w:before="120" w:line="360" w:lineRule="auto"/>
        <w:ind w:firstLine="3064" w:firstLineChars="1090"/>
        <w:outlineLvl w:val="9"/>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合同编号：</w:t>
      </w:r>
      <w:bookmarkEnd w:id="0"/>
      <w:bookmarkEnd w:id="1"/>
      <w:bookmarkEnd w:id="2"/>
      <w:bookmarkEnd w:id="3"/>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70CFC049">
      <w:pPr>
        <w:pStyle w:val="5"/>
        <w:spacing w:before="120" w:line="360" w:lineRule="auto"/>
        <w:ind w:firstLine="0"/>
        <w:rPr>
          <w:rFonts w:hint="eastAsia" w:ascii="宋体" w:hAnsi="宋体" w:eastAsia="宋体" w:cs="宋体"/>
          <w:color w:val="auto"/>
          <w:sz w:val="28"/>
          <w:szCs w:val="28"/>
          <w:highlight w:val="none"/>
        </w:rPr>
      </w:pPr>
    </w:p>
    <w:p w14:paraId="0D04D5D0">
      <w:pPr>
        <w:spacing w:before="120" w:line="360" w:lineRule="auto"/>
        <w:rPr>
          <w:rFonts w:hint="eastAsia" w:ascii="宋体" w:hAnsi="宋体" w:eastAsia="宋体" w:cs="宋体"/>
          <w:b/>
          <w:bCs/>
          <w:color w:val="auto"/>
          <w:sz w:val="28"/>
          <w:szCs w:val="28"/>
          <w:highlight w:val="none"/>
        </w:rPr>
      </w:pPr>
    </w:p>
    <w:p w14:paraId="598C3355">
      <w:pPr>
        <w:pStyle w:val="3"/>
        <w:spacing w:line="360" w:lineRule="auto"/>
        <w:rPr>
          <w:rFonts w:hint="eastAsia" w:ascii="宋体" w:hAnsi="宋体" w:eastAsia="宋体" w:cs="宋体"/>
          <w:b/>
          <w:bCs/>
          <w:color w:val="auto"/>
          <w:sz w:val="28"/>
          <w:szCs w:val="28"/>
          <w:highlight w:val="none"/>
        </w:rPr>
      </w:pPr>
    </w:p>
    <w:p w14:paraId="397A4ADC">
      <w:pPr>
        <w:spacing w:line="360" w:lineRule="auto"/>
        <w:rPr>
          <w:rFonts w:hint="eastAsia" w:ascii="宋体" w:hAnsi="宋体" w:eastAsia="宋体" w:cs="宋体"/>
          <w:b/>
          <w:bCs/>
          <w:color w:val="auto"/>
          <w:sz w:val="28"/>
          <w:szCs w:val="28"/>
          <w:highlight w:val="none"/>
        </w:rPr>
      </w:pPr>
    </w:p>
    <w:p w14:paraId="085A7D9C">
      <w:pPr>
        <w:pStyle w:val="3"/>
        <w:spacing w:line="360" w:lineRule="auto"/>
        <w:rPr>
          <w:rFonts w:hint="eastAsia" w:ascii="宋体" w:hAnsi="宋体" w:eastAsia="宋体" w:cs="宋体"/>
          <w:color w:val="auto"/>
          <w:highlight w:val="none"/>
        </w:rPr>
      </w:pPr>
    </w:p>
    <w:p w14:paraId="658BB192">
      <w:pPr>
        <w:spacing w:before="120" w:line="360" w:lineRule="auto"/>
        <w:ind w:left="960"/>
        <w:outlineLvl w:val="9"/>
        <w:rPr>
          <w:rFonts w:hint="eastAsia" w:ascii="宋体" w:hAnsi="宋体" w:eastAsia="宋体" w:cs="宋体"/>
          <w:b/>
          <w:bCs/>
          <w:color w:val="auto"/>
          <w:sz w:val="28"/>
          <w:szCs w:val="28"/>
          <w:highlight w:val="none"/>
        </w:rPr>
      </w:pPr>
      <w:bookmarkStart w:id="4" w:name="_Toc10914"/>
      <w:bookmarkStart w:id="5" w:name="_Toc13367"/>
    </w:p>
    <w:p w14:paraId="52DFA16A">
      <w:pPr>
        <w:spacing w:before="120" w:line="360" w:lineRule="auto"/>
        <w:ind w:left="960"/>
        <w:outlineLvl w:val="9"/>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lang w:val="en-US" w:eastAsia="zh-CN"/>
        </w:rPr>
        <w:t xml:space="preserve"> </w:t>
      </w:r>
      <w:r>
        <w:rPr>
          <w:rFonts w:hint="eastAsia" w:ascii="宋体" w:hAnsi="宋体" w:eastAsia="宋体" w:cs="宋体"/>
          <w:b/>
          <w:bCs/>
          <w:color w:val="auto"/>
          <w:sz w:val="28"/>
          <w:szCs w:val="28"/>
          <w:highlight w:val="none"/>
        </w:rPr>
        <w:t>：</w:t>
      </w:r>
      <w:bookmarkEnd w:id="4"/>
      <w:bookmarkEnd w:id="5"/>
      <w:r>
        <w:rPr>
          <w:rFonts w:hint="eastAsia"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none"/>
          <w:lang w:val="en-US" w:eastAsia="zh-CN"/>
        </w:rPr>
        <w:t xml:space="preserve">                                </w:t>
      </w:r>
      <w:r>
        <w:rPr>
          <w:rFonts w:hint="eastAsia" w:ascii="宋体" w:hAnsi="宋体" w:eastAsia="宋体" w:cs="宋体"/>
          <w:b/>
          <w:bCs/>
          <w:color w:val="auto"/>
          <w:sz w:val="28"/>
          <w:szCs w:val="28"/>
          <w:highlight w:val="none"/>
          <w:u w:val="none"/>
        </w:rPr>
        <w:t xml:space="preserve">                  </w:t>
      </w:r>
      <w:r>
        <w:rPr>
          <w:rFonts w:hint="eastAsia" w:ascii="宋体" w:hAnsi="宋体" w:eastAsia="宋体" w:cs="宋体"/>
          <w:b/>
          <w:bCs/>
          <w:color w:val="auto"/>
          <w:sz w:val="28"/>
          <w:szCs w:val="28"/>
          <w:highlight w:val="none"/>
          <w:u w:val="none"/>
          <w:lang w:val="en-US" w:eastAsia="zh-CN"/>
        </w:rPr>
        <w:t xml:space="preserve">     </w:t>
      </w:r>
      <w:r>
        <w:rPr>
          <w:rFonts w:hint="eastAsia" w:ascii="宋体" w:hAnsi="宋体" w:eastAsia="宋体" w:cs="宋体"/>
          <w:b/>
          <w:bCs/>
          <w:color w:val="auto"/>
          <w:sz w:val="28"/>
          <w:szCs w:val="28"/>
          <w:highlight w:val="none"/>
          <w:u w:val="none"/>
        </w:rPr>
        <w:t xml:space="preserve">            </w:t>
      </w:r>
    </w:p>
    <w:p w14:paraId="4571F436">
      <w:pPr>
        <w:spacing w:before="120" w:line="360" w:lineRule="auto"/>
        <w:ind w:left="960"/>
        <w:outlineLvl w:val="9"/>
        <w:rPr>
          <w:rFonts w:hint="eastAsia" w:ascii="宋体" w:hAnsi="宋体" w:eastAsia="宋体" w:cs="宋体"/>
          <w:b/>
          <w:bCs/>
          <w:color w:val="auto"/>
          <w:sz w:val="28"/>
          <w:szCs w:val="28"/>
          <w:highlight w:val="none"/>
        </w:rPr>
      </w:pPr>
      <w:bookmarkStart w:id="6" w:name="_Toc27013"/>
      <w:bookmarkStart w:id="7" w:name="_Toc4385"/>
      <w:r>
        <w:rPr>
          <w:rFonts w:hint="eastAsia" w:ascii="宋体" w:hAnsi="宋体" w:eastAsia="宋体" w:cs="宋体"/>
          <w:b/>
          <w:bCs/>
          <w:color w:val="auto"/>
          <w:sz w:val="28"/>
          <w:szCs w:val="28"/>
          <w:highlight w:val="none"/>
          <w:lang w:val="en-US" w:eastAsia="zh-CN"/>
        </w:rPr>
        <w:t>采购人</w:t>
      </w:r>
      <w:r>
        <w:rPr>
          <w:rFonts w:hint="eastAsia" w:ascii="宋体" w:hAnsi="宋体" w:eastAsia="宋体" w:cs="宋体"/>
          <w:b/>
          <w:bCs/>
          <w:color w:val="auto"/>
          <w:sz w:val="28"/>
          <w:szCs w:val="28"/>
          <w:highlight w:val="none"/>
          <w:lang w:eastAsia="zh-CN"/>
        </w:rPr>
        <w:t>（甲方）</w:t>
      </w:r>
      <w:r>
        <w:rPr>
          <w:rFonts w:hint="eastAsia" w:ascii="宋体" w:hAnsi="宋体" w:eastAsia="宋体" w:cs="宋体"/>
          <w:b/>
          <w:bCs/>
          <w:color w:val="auto"/>
          <w:sz w:val="28"/>
          <w:szCs w:val="28"/>
          <w:highlight w:val="none"/>
        </w:rPr>
        <w:t>：</w:t>
      </w:r>
      <w:bookmarkEnd w:id="6"/>
      <w:bookmarkEnd w:id="7"/>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34BCA108">
      <w:pPr>
        <w:spacing w:before="120" w:line="360" w:lineRule="auto"/>
        <w:ind w:left="960"/>
        <w:outlineLvl w:val="9"/>
        <w:rPr>
          <w:rFonts w:hint="eastAsia" w:ascii="宋体" w:hAnsi="宋体" w:eastAsia="宋体" w:cs="宋体"/>
          <w:b/>
          <w:bCs/>
          <w:color w:val="auto"/>
          <w:sz w:val="28"/>
          <w:szCs w:val="28"/>
          <w:highlight w:val="none"/>
          <w:u w:val="single"/>
        </w:rPr>
      </w:pPr>
      <w:bookmarkStart w:id="8" w:name="_Toc5140"/>
      <w:bookmarkStart w:id="9" w:name="_Toc31961"/>
      <w:r>
        <w:rPr>
          <w:rFonts w:hint="eastAsia" w:ascii="宋体" w:hAnsi="宋体" w:eastAsia="宋体" w:cs="宋体"/>
          <w:b/>
          <w:bCs/>
          <w:color w:val="auto"/>
          <w:sz w:val="28"/>
          <w:szCs w:val="28"/>
          <w:highlight w:val="none"/>
          <w:lang w:val="en-US" w:eastAsia="zh-CN"/>
        </w:rPr>
        <w:t>成交供应商（</w:t>
      </w:r>
      <w:r>
        <w:rPr>
          <w:rFonts w:hint="eastAsia" w:ascii="宋体" w:hAnsi="宋体" w:eastAsia="宋体" w:cs="宋体"/>
          <w:b/>
          <w:bCs/>
          <w:color w:val="auto"/>
          <w:sz w:val="28"/>
          <w:szCs w:val="28"/>
          <w:highlight w:val="none"/>
          <w:lang w:eastAsia="zh-CN"/>
        </w:rPr>
        <w:t>乙方</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rPr>
        <w:t>：</w:t>
      </w:r>
      <w:bookmarkEnd w:id="8"/>
      <w:bookmarkEnd w:id="9"/>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u w:val="single"/>
          <w:lang w:val="en-US" w:eastAsia="zh-CN"/>
        </w:rPr>
        <w:t xml:space="preserve">   </w:t>
      </w:r>
      <w:r>
        <w:rPr>
          <w:rFonts w:hint="eastAsia" w:ascii="宋体" w:hAnsi="宋体" w:eastAsia="宋体" w:cs="宋体"/>
          <w:b/>
          <w:bCs/>
          <w:color w:val="auto"/>
          <w:sz w:val="28"/>
          <w:szCs w:val="28"/>
          <w:highlight w:val="none"/>
          <w:u w:val="single"/>
        </w:rPr>
        <w:t xml:space="preserve">             </w:t>
      </w:r>
    </w:p>
    <w:p w14:paraId="2B02CD1E">
      <w:pPr>
        <w:spacing w:before="120" w:line="360" w:lineRule="auto"/>
        <w:ind w:left="960"/>
        <w:outlineLvl w:val="9"/>
        <w:rPr>
          <w:rFonts w:hint="eastAsia" w:cs="宋体"/>
          <w:b/>
          <w:bCs/>
          <w:color w:val="auto"/>
          <w:sz w:val="28"/>
          <w:szCs w:val="28"/>
          <w:highlight w:val="none"/>
          <w:u w:val="single"/>
          <w:lang w:val="en-US" w:eastAsia="zh-CN"/>
        </w:rPr>
      </w:pPr>
      <w:bookmarkStart w:id="10" w:name="_Toc24531"/>
      <w:bookmarkStart w:id="11" w:name="_Toc25623"/>
      <w:r>
        <w:rPr>
          <w:rFonts w:hint="eastAsia" w:ascii="宋体" w:hAnsi="宋体" w:eastAsia="宋体" w:cs="宋体"/>
          <w:b/>
          <w:bCs/>
          <w:color w:val="auto"/>
          <w:sz w:val="28"/>
          <w:szCs w:val="28"/>
          <w:highlight w:val="none"/>
          <w:lang w:val="en-US" w:eastAsia="zh-CN"/>
        </w:rPr>
        <w:t>签署地点 ：</w:t>
      </w:r>
      <w:bookmarkEnd w:id="10"/>
      <w:bookmarkEnd w:id="11"/>
      <w:bookmarkStart w:id="12" w:name="_Toc13545"/>
      <w:bookmarkStart w:id="13" w:name="_Toc31729"/>
      <w:r>
        <w:rPr>
          <w:rFonts w:hint="eastAsia" w:cs="宋体"/>
          <w:b/>
          <w:bCs/>
          <w:color w:val="auto"/>
          <w:sz w:val="28"/>
          <w:szCs w:val="28"/>
          <w:highlight w:val="none"/>
          <w:u w:val="single"/>
          <w:lang w:val="en-US" w:eastAsia="zh-CN"/>
        </w:rPr>
        <w:t xml:space="preserve">                                     </w:t>
      </w:r>
    </w:p>
    <w:p w14:paraId="7D59092B">
      <w:pPr>
        <w:spacing w:before="120" w:line="360" w:lineRule="auto"/>
        <w:ind w:left="960"/>
        <w:outlineLvl w:val="9"/>
        <w:rPr>
          <w:rFonts w:hint="eastAsia" w:ascii="仿宋" w:hAnsi="仿宋" w:eastAsia="仿宋" w:cs="仿宋"/>
          <w:b/>
          <w:bCs/>
          <w:color w:val="auto"/>
          <w:sz w:val="24"/>
          <w:szCs w:val="24"/>
        </w:rPr>
      </w:pPr>
      <w:r>
        <w:rPr>
          <w:rFonts w:hint="eastAsia" w:ascii="宋体" w:hAnsi="宋体" w:eastAsia="宋体" w:cs="宋体"/>
          <w:b/>
          <w:bCs/>
          <w:color w:val="auto"/>
          <w:sz w:val="28"/>
          <w:szCs w:val="28"/>
          <w:highlight w:val="none"/>
          <w:lang w:val="en-US" w:eastAsia="zh-CN"/>
        </w:rPr>
        <w:t>签署日期 ：</w:t>
      </w:r>
      <w:bookmarkEnd w:id="12"/>
      <w:bookmarkEnd w:id="13"/>
      <w:r>
        <w:rPr>
          <w:rFonts w:hint="eastAsia" w:cs="宋体"/>
          <w:b/>
          <w:bCs/>
          <w:color w:val="auto"/>
          <w:sz w:val="28"/>
          <w:szCs w:val="28"/>
          <w:highlight w:val="none"/>
          <w:u w:val="single"/>
          <w:lang w:val="en-US" w:eastAsia="zh-CN"/>
        </w:rPr>
        <w:t xml:space="preserve">                                     </w:t>
      </w:r>
    </w:p>
    <w:p w14:paraId="3532EECC">
      <w:pPr>
        <w:spacing w:line="500" w:lineRule="exact"/>
        <w:ind w:right="-2"/>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10A9D130">
      <w:pPr>
        <w:spacing w:line="500" w:lineRule="exact"/>
        <w:ind w:right="-2"/>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6348C484">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p>
    <w:p w14:paraId="282298F8">
      <w:pPr>
        <w:keepNext w:val="0"/>
        <w:keepLines w:val="0"/>
        <w:pageBreakBefore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依据《中华人民共和国民法典》和《中华人民共和国政府采购法》有关要求，甲、乙双方遵循平等、自愿、公平和诚信的原则，经双方共同协商，现就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lang w:eastAsia="zh-CN"/>
        </w:rPr>
        <w:t>军休干部服务保障项目（</w:t>
      </w:r>
      <w:r>
        <w:rPr>
          <w:rFonts w:hint="eastAsia" w:ascii="仿宋_GB2312" w:hAnsi="仿宋_GB2312" w:eastAsia="仿宋_GB2312" w:cs="仿宋_GB2312"/>
          <w:color w:val="auto"/>
          <w:sz w:val="28"/>
          <w:szCs w:val="28"/>
          <w:u w:val="single"/>
          <w:lang w:val="en-US" w:eastAsia="zh-CN"/>
        </w:rPr>
        <w:t>项目编号：SXHC2026-105</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有关事宜签订合同如下：</w:t>
      </w:r>
    </w:p>
    <w:p w14:paraId="57D9356C">
      <w:pPr>
        <w:adjustRightInd w:val="0"/>
        <w:snapToGrid w:val="0"/>
        <w:spacing w:line="360" w:lineRule="auto"/>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一、合同价款</w:t>
      </w:r>
    </w:p>
    <w:p w14:paraId="192AAA19">
      <w:pPr>
        <w:autoSpaceDE w:val="0"/>
        <w:autoSpaceDN w:val="0"/>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（一）合同暂定价为人民币（大写）</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p>
    <w:p w14:paraId="09B175D1">
      <w:pPr>
        <w:autoSpaceDE w:val="0"/>
        <w:autoSpaceDN w:val="0"/>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（二）合同价款是指完成本次活动包含的所有内容，</w:t>
      </w:r>
      <w:r>
        <w:rPr>
          <w:rFonts w:hint="eastAsia" w:ascii="仿宋_GB2312" w:hAnsi="仿宋" w:eastAsia="仿宋_GB2312"/>
          <w:sz w:val="28"/>
          <w:szCs w:val="28"/>
          <w:lang w:val="en-US" w:eastAsia="zh-CN"/>
        </w:rPr>
        <w:t>包括但不限于人员薪资、社保、商业保险、服务费、税费、风险金、残保金、成交服务费等一切费用</w:t>
      </w:r>
      <w:r>
        <w:rPr>
          <w:rFonts w:hint="eastAsia" w:ascii="仿宋_GB2312" w:hAnsi="宋体" w:eastAsia="仿宋_GB2312"/>
          <w:sz w:val="28"/>
          <w:szCs w:val="28"/>
          <w:lang w:val="en-US" w:eastAsia="zh-CN"/>
        </w:rPr>
        <w:t>，甲方不再追加任何金额</w:t>
      </w:r>
      <w:r>
        <w:rPr>
          <w:rFonts w:hint="eastAsia" w:ascii="仿宋_GB2312" w:hAnsi="仿宋" w:eastAsia="仿宋_GB2312"/>
          <w:sz w:val="28"/>
          <w:szCs w:val="28"/>
        </w:rPr>
        <w:t>。</w:t>
      </w:r>
    </w:p>
    <w:p w14:paraId="1F1190D6">
      <w:pPr>
        <w:adjustRightInd w:val="0"/>
        <w:snapToGrid w:val="0"/>
        <w:spacing w:line="360" w:lineRule="auto"/>
        <w:ind w:firstLine="560" w:firstLineChars="200"/>
        <w:rPr>
          <w:rFonts w:hint="eastAsia" w:ascii="仿宋_GB2312" w:hAnsi="仿宋_GB2312" w:eastAsia="仿宋_GB2312" w:cs="仿宋_GB2312"/>
          <w:color w:val="auto"/>
          <w:sz w:val="28"/>
          <w:szCs w:val="28"/>
        </w:rPr>
      </w:pPr>
      <w:r>
        <w:rPr>
          <w:rFonts w:hint="eastAsia" w:ascii="仿宋_GB2312" w:hAnsi="仿宋" w:eastAsia="仿宋_GB2312"/>
          <w:sz w:val="28"/>
          <w:szCs w:val="28"/>
        </w:rPr>
        <w:t>（三）合同总价一次性包死，不受市场价格变化因素的影响</w:t>
      </w:r>
      <w:r>
        <w:rPr>
          <w:rFonts w:hint="eastAsia" w:ascii="仿宋_GB2312" w:hAnsi="仿宋_GB2312" w:eastAsia="仿宋_GB2312" w:cs="仿宋_GB2312"/>
          <w:color w:val="auto"/>
          <w:sz w:val="28"/>
          <w:szCs w:val="28"/>
        </w:rPr>
        <w:t>。</w:t>
      </w:r>
    </w:p>
    <w:p w14:paraId="5A047676">
      <w:pPr>
        <w:adjustRightInd w:val="0"/>
        <w:snapToGrid w:val="0"/>
        <w:spacing w:line="360" w:lineRule="auto"/>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二、款项结算</w:t>
      </w:r>
    </w:p>
    <w:p w14:paraId="046DC39B">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bCs/>
          <w:sz w:val="28"/>
          <w:szCs w:val="28"/>
        </w:rPr>
        <w:t>合同款的支付</w:t>
      </w:r>
      <w:r>
        <w:rPr>
          <w:rFonts w:hint="eastAsia" w:ascii="仿宋_GB2312" w:hAnsi="仿宋_GB2312" w:eastAsia="仿宋_GB2312" w:cs="仿宋_GB2312"/>
          <w:sz w:val="28"/>
          <w:szCs w:val="28"/>
        </w:rPr>
        <w:t>：</w:t>
      </w:r>
    </w:p>
    <w:p w14:paraId="1E858CF2">
      <w:pPr>
        <w:keepNext w:val="0"/>
        <w:keepLines w:val="0"/>
        <w:pageBreakBefore w:val="0"/>
        <w:kinsoku/>
        <w:wordWrap/>
        <w:overflowPunct/>
        <w:topLinePunct w:val="0"/>
        <w:bidi w:val="0"/>
        <w:adjustRightInd/>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1、合同签订后，达到付款条件起15日内，支付合同总金额的 40.00%。</w:t>
      </w:r>
    </w:p>
    <w:p w14:paraId="79091369">
      <w:pPr>
        <w:keepNext w:val="0"/>
        <w:keepLines w:val="0"/>
        <w:pageBreakBefore w:val="0"/>
        <w:kinsoku/>
        <w:wordWrap/>
        <w:overflowPunct/>
        <w:topLinePunct w:val="0"/>
        <w:bidi w:val="0"/>
        <w:adjustRightInd/>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2、项目服务期过半后，达到付款条件起15日内，支付合同总金额的10.00%。</w:t>
      </w:r>
    </w:p>
    <w:p w14:paraId="33FEC736">
      <w:pPr>
        <w:keepNext w:val="0"/>
        <w:keepLines w:val="0"/>
        <w:pageBreakBefore w:val="0"/>
        <w:kinsoku/>
        <w:wordWrap/>
        <w:overflowPunct/>
        <w:topLinePunct w:val="0"/>
        <w:bidi w:val="0"/>
        <w:adjustRightInd/>
        <w:spacing w:line="360" w:lineRule="auto"/>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color w:val="auto"/>
          <w:sz w:val="28"/>
          <w:szCs w:val="28"/>
          <w:highlight w:val="none"/>
          <w:lang w:val="en-US" w:eastAsia="zh-CN"/>
        </w:rPr>
        <w:t>3、服务期结束后，达到付款条件起15日内，支付合同总金额的 50.00%</w:t>
      </w:r>
      <w:r>
        <w:rPr>
          <w:rFonts w:hint="eastAsia" w:ascii="仿宋_GB2312" w:hAnsi="仿宋_GB2312" w:eastAsia="仿宋_GB2312" w:cs="仿宋_GB2312"/>
          <w:sz w:val="28"/>
          <w:szCs w:val="28"/>
          <w:highlight w:val="none"/>
        </w:rPr>
        <w:t>。</w:t>
      </w:r>
    </w:p>
    <w:p w14:paraId="5F921F43">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4C87F0D7">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（三）结算方式：</w:t>
      </w:r>
      <w:r>
        <w:rPr>
          <w:rFonts w:hint="eastAsia" w:ascii="仿宋_GB2312" w:hAnsi="仿宋" w:eastAsia="仿宋_GB2312"/>
          <w:bCs/>
          <w:sz w:val="28"/>
          <w:szCs w:val="28"/>
        </w:rPr>
        <w:t>乙方</w:t>
      </w:r>
      <w:r>
        <w:rPr>
          <w:rFonts w:ascii="仿宋_GB2312" w:hAnsi="仿宋" w:eastAsia="仿宋_GB2312"/>
          <w:bCs/>
          <w:sz w:val="28"/>
          <w:szCs w:val="28"/>
        </w:rPr>
        <w:t>在接受付款前开具</w:t>
      </w:r>
      <w:r>
        <w:rPr>
          <w:rFonts w:hint="eastAsia" w:ascii="仿宋_GB2312" w:hAnsi="仿宋" w:eastAsia="仿宋_GB2312"/>
          <w:bCs/>
          <w:sz w:val="28"/>
          <w:szCs w:val="28"/>
        </w:rPr>
        <w:t>增值税专用</w:t>
      </w:r>
      <w:r>
        <w:rPr>
          <w:rFonts w:ascii="仿宋_GB2312" w:hAnsi="仿宋" w:eastAsia="仿宋_GB2312"/>
          <w:bCs/>
          <w:sz w:val="28"/>
          <w:szCs w:val="28"/>
        </w:rPr>
        <w:t>发票给</w:t>
      </w:r>
      <w:r>
        <w:rPr>
          <w:rFonts w:hint="eastAsia" w:ascii="仿宋_GB2312" w:hAnsi="仿宋" w:eastAsia="仿宋_GB2312"/>
          <w:bCs/>
          <w:sz w:val="28"/>
          <w:szCs w:val="28"/>
        </w:rPr>
        <w:t>甲方，甲方于10个工作日内向乙方支付</w:t>
      </w:r>
      <w:r>
        <w:rPr>
          <w:rFonts w:hint="eastAsia" w:ascii="仿宋_GB2312" w:hAnsi="仿宋_GB2312" w:eastAsia="仿宋_GB2312" w:cs="仿宋_GB2312"/>
          <w:sz w:val="28"/>
          <w:szCs w:val="28"/>
        </w:rPr>
        <w:t>。</w:t>
      </w:r>
    </w:p>
    <w:p w14:paraId="6384AEF2">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三、服务地点及服务期</w:t>
      </w:r>
    </w:p>
    <w:p w14:paraId="75EC53AB">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（一）服务地点：西安市</w:t>
      </w:r>
      <w:r>
        <w:rPr>
          <w:rFonts w:hint="eastAsia" w:ascii="仿宋_GB2312" w:hAnsi="仿宋_GB2312" w:eastAsia="仿宋_GB2312" w:cs="仿宋_GB2312"/>
          <w:sz w:val="28"/>
          <w:szCs w:val="28"/>
          <w:lang w:val="en-US" w:eastAsia="zh-CN"/>
        </w:rPr>
        <w:t>范围内</w:t>
      </w:r>
      <w:r>
        <w:rPr>
          <w:rFonts w:hint="eastAsia" w:ascii="仿宋_GB2312" w:hAnsi="仿宋_GB2312" w:eastAsia="仿宋_GB2312" w:cs="仿宋_GB2312"/>
          <w:sz w:val="28"/>
          <w:szCs w:val="28"/>
        </w:rPr>
        <w:t>，具体以</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指定地点为准。</w:t>
      </w:r>
    </w:p>
    <w:p w14:paraId="0F83A52B">
      <w:pPr>
        <w:adjustRightInd w:val="0"/>
        <w:snapToGrid w:val="0"/>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（二）服务期：</w:t>
      </w:r>
      <w:r>
        <w:rPr>
          <w:rFonts w:hint="eastAsia" w:ascii="仿宋_GB2312" w:hAnsi="仿宋_GB2312" w:eastAsia="仿宋_GB2312" w:cs="仿宋_GB2312"/>
          <w:sz w:val="28"/>
          <w:szCs w:val="28"/>
          <w:lang w:val="en-US" w:eastAsia="zh-CN"/>
        </w:rPr>
        <w:t>自合同签订之日起1年</w:t>
      </w:r>
      <w:r>
        <w:rPr>
          <w:rFonts w:hint="eastAsia" w:ascii="仿宋_GB2312" w:hAnsi="仿宋_GB2312" w:eastAsia="仿宋_GB2312" w:cs="仿宋_GB2312"/>
          <w:sz w:val="28"/>
          <w:szCs w:val="28"/>
        </w:rPr>
        <w:t>。</w:t>
      </w:r>
    </w:p>
    <w:p w14:paraId="3025EAAB">
      <w:pPr>
        <w:keepNext w:val="0"/>
        <w:keepLines w:val="0"/>
        <w:pageBreakBefore w:val="0"/>
        <w:kinsoku/>
        <w:wordWrap/>
        <w:overflowPunct/>
        <w:topLinePunct w:val="0"/>
        <w:bidi w:val="0"/>
        <w:adjustRightInd/>
        <w:spacing w:line="360" w:lineRule="auto"/>
        <w:ind w:firstLine="562"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四</w:t>
      </w:r>
      <w:r>
        <w:rPr>
          <w:rFonts w:hint="eastAsia" w:ascii="仿宋_GB2312" w:hAnsi="仿宋_GB2312" w:eastAsia="仿宋_GB2312" w:cs="仿宋_GB2312"/>
          <w:b/>
          <w:bCs/>
          <w:color w:val="auto"/>
          <w:sz w:val="28"/>
          <w:szCs w:val="28"/>
          <w:highlight w:val="none"/>
        </w:rPr>
        <w:t>、服务内容</w:t>
      </w:r>
      <w:r>
        <w:rPr>
          <w:rFonts w:hint="eastAsia" w:ascii="仿宋_GB2312" w:hAnsi="仿宋_GB2312" w:eastAsia="仿宋_GB2312" w:cs="仿宋_GB2312"/>
          <w:b/>
          <w:bCs/>
          <w:color w:val="auto"/>
          <w:sz w:val="28"/>
          <w:szCs w:val="28"/>
          <w:highlight w:val="none"/>
          <w:lang w:val="en-US" w:eastAsia="zh-CN"/>
        </w:rPr>
        <w:t>及要求</w:t>
      </w:r>
    </w:p>
    <w:p w14:paraId="33AD158E">
      <w:pPr>
        <w:pStyle w:val="12"/>
        <w:keepNext w:val="0"/>
        <w:keepLines w:val="0"/>
        <w:pageBreakBefore w:val="0"/>
        <w:kinsoku/>
        <w:wordWrap/>
        <w:overflowPunct/>
        <w:topLinePunct w:val="0"/>
        <w:autoSpaceDE/>
        <w:autoSpaceDN/>
        <w:bidi w:val="0"/>
        <w:spacing w:line="360" w:lineRule="auto"/>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（一）服务内容：为甲方提供两方面服务。</w:t>
      </w:r>
    </w:p>
    <w:p w14:paraId="69085636">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一是对军休干部开展全员常态化走访慰问，包括春节、八一等重大节日走访慰问，对生病住院的军休干部及时开展住院慰问，对军休干部中的高龄、重病等特殊人员开展定期走访联系，协助组织军休干部健康体检、健康义诊咨询、完善健康台账等医疗保障活动，做好军休干部外出活动保障，做好精准化服务、困难帮扶和人文关怀等，走访覆盖率需达90％以上。</w:t>
      </w:r>
    </w:p>
    <w:p w14:paraId="75EAEC33">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二是对5辆公务用车进行日常运行保障工作，确保规范安全有序。</w:t>
      </w:r>
    </w:p>
    <w:p w14:paraId="22C3FDD6">
      <w:pPr>
        <w:pStyle w:val="12"/>
        <w:keepNext w:val="0"/>
        <w:keepLines w:val="0"/>
        <w:pageBreakBefore w:val="0"/>
        <w:kinsoku/>
        <w:wordWrap/>
        <w:overflowPunct/>
        <w:topLinePunct w:val="0"/>
        <w:autoSpaceDE/>
        <w:autoSpaceDN/>
        <w:bidi w:val="0"/>
        <w:spacing w:line="360" w:lineRule="auto"/>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（二）工作要求</w:t>
      </w:r>
    </w:p>
    <w:p w14:paraId="30A2AB34">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1、乙方需按照服务内容对整个项目进行全程管理、节点达成、合规运营、风险防控等，保障服务专业性、规范性。</w:t>
      </w:r>
    </w:p>
    <w:p w14:paraId="6D107324">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乙方整体服务需严格按照甲方要求和安排，贴合军休工作实际需求，确保高质量服务标准。同时，遵守单位各项规章制度、严守工作秘密，建立完善的绩效考核机制，在服务过程中必须要有跟踪监督和动态评估，保障良好的服务质量。如提供服务标准无法达到甲方要求，乙方应在3日内进行工作调整，同时，具备一定处理突发事件的能力。</w:t>
      </w:r>
    </w:p>
    <w:p w14:paraId="325AB930">
      <w:pPr>
        <w:pStyle w:val="12"/>
        <w:keepNext w:val="0"/>
        <w:keepLines w:val="0"/>
        <w:pageBreakBefore w:val="0"/>
        <w:kinsoku/>
        <w:wordWrap/>
        <w:overflowPunct/>
        <w:topLinePunct w:val="0"/>
        <w:autoSpaceDE/>
        <w:autoSpaceDN/>
        <w:bidi w:val="0"/>
        <w:spacing w:line="360" w:lineRule="auto"/>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（三）具体服务范围</w:t>
      </w:r>
    </w:p>
    <w:p w14:paraId="6DE1BE96">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1、服务保障方面</w:t>
      </w:r>
    </w:p>
    <w:p w14:paraId="6F9E2773">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负责军休干部的日常走访慰问、政策解答与宣传，对军休干部中的高龄、重病等特殊人员开展定期走访联系，做好精准化服务、困难帮扶和人文关怀等，走访覆盖率需达90％以上，确保双方信息畅通与问题有效解决。</w:t>
      </w:r>
    </w:p>
    <w:p w14:paraId="526CF18A">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（2）在日常走访中，协助军休干部做好相关事项的办理，协助医疗与健康服务及困难帮扶与特殊关怀等服务，协助做好军休干部外出活动保障。</w:t>
      </w:r>
    </w:p>
    <w:p w14:paraId="76986C42">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2、车辆运行方面</w:t>
      </w:r>
    </w:p>
    <w:p w14:paraId="48D5FD1D">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（1）所提供服务需保证专业性和规范化。严格按照上级要求和单位车辆管理制度要求做好车辆日常安全运行。做好行车安全管控，杜绝公车私用、违规驾驶。</w:t>
      </w:r>
    </w:p>
    <w:p w14:paraId="19332F49">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（2）协助做好车辆日常维护与保养，做好日常用车档案与行车日志。协助做好军休干部外出活动、住院探望、公务用车等工作的车辆保障。承担突发应急用车、紧急情况临时出车保障，落实24小时应急备勤值守。</w:t>
      </w:r>
    </w:p>
    <w:p w14:paraId="6FF99488">
      <w:pPr>
        <w:pStyle w:val="12"/>
        <w:keepNext w:val="0"/>
        <w:keepLines w:val="0"/>
        <w:pageBreakBefore w:val="0"/>
        <w:kinsoku/>
        <w:wordWrap/>
        <w:overflowPunct/>
        <w:topLinePunct w:val="0"/>
        <w:autoSpaceDE/>
        <w:autoSpaceDN/>
        <w:bidi w:val="0"/>
        <w:spacing w:line="360" w:lineRule="auto"/>
        <w:ind w:firstLine="562" w:firstLineChars="200"/>
        <w:textAlignment w:val="auto"/>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（四）管理方面的要求</w:t>
      </w:r>
    </w:p>
    <w:p w14:paraId="6F77A576">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（一）乙方做好项目全流程管理，包括项目综合管理、服务人员管理等，负责与服务人员签订劳动合同，确立劳动关系。</w:t>
      </w:r>
    </w:p>
    <w:p w14:paraId="7F18D594">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（二）负责每月保障人员工资的按时发放以及社保缴纳等。</w:t>
      </w:r>
    </w:p>
    <w:p w14:paraId="416DCE43">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（三）负责处理服务人员提出的劳动仲裁、诉讼等事宜。</w:t>
      </w:r>
    </w:p>
    <w:p w14:paraId="508711C7">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（四）负责服务人员的档案管理。</w:t>
      </w:r>
    </w:p>
    <w:p w14:paraId="50DA710E">
      <w:pPr>
        <w:pStyle w:val="12"/>
        <w:keepNext w:val="0"/>
        <w:keepLines w:val="0"/>
        <w:pageBreakBefore w:val="0"/>
        <w:kinsoku/>
        <w:wordWrap/>
        <w:overflowPunct/>
        <w:topLinePunct w:val="0"/>
        <w:autoSpaceDE/>
        <w:autoSpaceDN/>
        <w:bidi w:val="0"/>
        <w:spacing w:line="360" w:lineRule="auto"/>
        <w:ind w:firstLine="560" w:firstLineChars="200"/>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（五）负责承担服务中的一切用工风险。</w:t>
      </w:r>
    </w:p>
    <w:p w14:paraId="7A3819E9">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_GB2312" w:eastAsia="仿宋_GB2312" w:cs="仿宋_GB2312"/>
          <w:b/>
          <w:bCs/>
          <w:color w:val="auto"/>
          <w:sz w:val="28"/>
          <w:szCs w:val="28"/>
          <w:lang w:val="en-US" w:eastAsia="zh-CN"/>
        </w:rPr>
        <w:t>五</w:t>
      </w:r>
      <w:r>
        <w:rPr>
          <w:rFonts w:hint="eastAsia" w:ascii="仿宋_GB2312" w:hAnsi="仿宋_GB2312" w:eastAsia="仿宋_GB2312" w:cs="仿宋_GB2312"/>
          <w:b/>
          <w:bCs/>
          <w:color w:val="auto"/>
          <w:sz w:val="28"/>
          <w:szCs w:val="28"/>
        </w:rPr>
        <w:t>、</w:t>
      </w:r>
      <w:r>
        <w:rPr>
          <w:rFonts w:hint="eastAsia" w:ascii="仿宋_GB2312" w:hAnsi="仿宋" w:eastAsia="仿宋_GB2312"/>
          <w:b/>
          <w:bCs/>
          <w:sz w:val="28"/>
          <w:szCs w:val="28"/>
        </w:rPr>
        <w:t>双方的权利和义务</w:t>
      </w:r>
    </w:p>
    <w:p w14:paraId="605E76B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2104A6E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甲方负责配合本次项目服务工作；</w:t>
      </w:r>
    </w:p>
    <w:p w14:paraId="170E19C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63AD0C3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甲方应按本合同的约定向乙方支付合同价款</w:t>
      </w:r>
      <w:r>
        <w:rPr>
          <w:rFonts w:hint="eastAsia" w:ascii="仿宋_GB2312" w:hAnsi="仿宋_GB2312" w:eastAsia="仿宋_GB2312" w:cs="仿宋_GB2312"/>
          <w:sz w:val="28"/>
          <w:szCs w:val="28"/>
          <w:highlight w:val="none"/>
          <w:lang w:val="en-US" w:eastAsia="zh-CN"/>
        </w:rPr>
        <w:t xml:space="preserve">。 </w:t>
      </w:r>
    </w:p>
    <w:p w14:paraId="26110E4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3、甲方可要求乙方调整不合格的服务人员，并于5日内调整到位。 </w:t>
      </w:r>
    </w:p>
    <w:p w14:paraId="5CBA432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4、双方可根据政策的变动并结合实际情况对合同项目内容进行修改和补充，对项目内容的修改和补充双方以书面补充协议形式做出。 </w:t>
      </w:r>
    </w:p>
    <w:p w14:paraId="0049DDD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lang w:val="en-US" w:eastAsia="zh-CN"/>
        </w:rPr>
        <w:t>5、甲方</w:t>
      </w:r>
      <w:r>
        <w:rPr>
          <w:rFonts w:hint="eastAsia" w:ascii="仿宋_GB2312" w:hAnsi="仿宋_GB2312" w:eastAsia="仿宋_GB2312" w:cs="仿宋_GB2312"/>
          <w:color w:val="auto"/>
          <w:sz w:val="28"/>
          <w:szCs w:val="28"/>
          <w:highlight w:val="none"/>
          <w:lang w:val="en-US" w:eastAsia="zh-CN"/>
        </w:rPr>
        <w:t>组织对乙方形成的相关成果资料审核、评审，</w:t>
      </w:r>
      <w:r>
        <w:rPr>
          <w:rFonts w:hint="eastAsia" w:ascii="仿宋_GB2312" w:hAnsi="仿宋_GB2312" w:eastAsia="仿宋_GB2312" w:cs="仿宋_GB2312"/>
          <w:sz w:val="28"/>
          <w:szCs w:val="28"/>
          <w:highlight w:val="none"/>
          <w:lang w:val="en-US" w:eastAsia="zh-CN"/>
        </w:rPr>
        <w:t>有权调阅乙方关于该项目的全部工作资料，并对本项目的检查和研究成果拥有所有权</w:t>
      </w:r>
      <w:r>
        <w:rPr>
          <w:rFonts w:hint="eastAsia" w:ascii="仿宋_GB2312" w:hAnsi="仿宋" w:eastAsia="仿宋_GB2312"/>
          <w:bCs/>
          <w:sz w:val="28"/>
          <w:szCs w:val="28"/>
        </w:rPr>
        <w:t>。</w:t>
      </w:r>
    </w:p>
    <w:p w14:paraId="71DEB1D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6E0B6B5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5481F46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乙方的工作人员必须严格遵守甲方的规章制度，以良好的形象和积极的工作态度，按甲方要求开展工作</w:t>
      </w:r>
      <w:r>
        <w:rPr>
          <w:rFonts w:hint="eastAsia" w:ascii="仿宋_GB2312" w:hAnsi="仿宋_GB2312" w:eastAsia="仿宋_GB2312" w:cs="仿宋_GB2312"/>
          <w:sz w:val="28"/>
          <w:szCs w:val="28"/>
          <w:highlight w:val="none"/>
          <w:lang w:val="en-US" w:eastAsia="zh-CN"/>
        </w:rPr>
        <w:t xml:space="preserve">。 </w:t>
      </w:r>
    </w:p>
    <w:p w14:paraId="7244645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3、乙方应接受甲方的检查监督及指导，完成甲方依合同约定交办的各项工作任务。 </w:t>
      </w:r>
    </w:p>
    <w:p w14:paraId="3B4F5D0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4、按合同约定要求开展工作，如有改变，乙方应提出书面申请，并征得甲方的书面同意。 </w:t>
      </w:r>
    </w:p>
    <w:p w14:paraId="56EFC90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乙方负责服务人员的管理，确保人员足额到位、并且具备足够的能力以满足岗位需要。乙方应在签订合同后5日内，按照响应文件的承诺，完成组建足额服务队员上岗。乙方对所有服务人员负责，人员管理中出现的一切问题与甲方无关。 </w:t>
      </w:r>
    </w:p>
    <w:p w14:paraId="7999882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6、乙方应向甲方提供工作人员名单，并保证检查人员的相对稳定。同时乙方应为本项目设置固定项目管理团队，并保证团队骨干的稳定性。 </w:t>
      </w:r>
    </w:p>
    <w:p w14:paraId="64B6CD9F">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7、在现场的乙方工作人员，应遵守甲方或管理单位的安全保卫及其他有关的规章制度，承担其有关资料保密义务。对于不称职或不合适服务岗位的乙方工作人员，甲方有权要求乙方立即更换</w:t>
      </w:r>
      <w:r>
        <w:rPr>
          <w:rFonts w:hint="eastAsia" w:ascii="仿宋_GB2312" w:hAnsi="仿宋_GB2312" w:eastAsia="仿宋_GB2312" w:cs="仿宋_GB2312"/>
          <w:sz w:val="28"/>
          <w:szCs w:val="28"/>
        </w:rPr>
        <w:t>。</w:t>
      </w:r>
    </w:p>
    <w:p w14:paraId="59851C5C">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lang w:val="en-US" w:eastAsia="zh-CN"/>
        </w:rPr>
        <w:t>六</w:t>
      </w:r>
      <w:r>
        <w:rPr>
          <w:rFonts w:hint="eastAsia" w:ascii="仿宋_GB2312" w:hAnsi="仿宋" w:eastAsia="仿宋_GB2312"/>
          <w:b/>
          <w:sz w:val="28"/>
          <w:szCs w:val="28"/>
        </w:rPr>
        <w:t>、</w:t>
      </w:r>
      <w:r>
        <w:rPr>
          <w:rFonts w:hint="eastAsia" w:ascii="仿宋_GB2312" w:hAnsi="仿宋_GB2312" w:eastAsia="仿宋_GB2312" w:cs="仿宋_GB2312"/>
          <w:b/>
          <w:bCs/>
          <w:color w:val="auto"/>
          <w:sz w:val="28"/>
          <w:szCs w:val="28"/>
          <w:highlight w:val="none"/>
          <w:lang w:val="en-US" w:eastAsia="zh-CN"/>
        </w:rPr>
        <w:t>成果的归属</w:t>
      </w:r>
    </w:p>
    <w:p w14:paraId="64C895A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本次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591BB6D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1DBF101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17879E7F">
      <w:pPr>
        <w:autoSpaceDE w:val="0"/>
        <w:autoSpaceDN w:val="0"/>
        <w:adjustRightInd w:val="0"/>
        <w:snapToGrid w:val="0"/>
        <w:spacing w:line="360" w:lineRule="auto"/>
        <w:ind w:firstLine="560" w:firstLineChars="200"/>
        <w:rPr>
          <w:rFonts w:hint="eastAsia" w:ascii="仿宋_GB2312" w:hAnsi="仿宋" w:eastAsia="仿宋_GB2312"/>
          <w:b/>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（四）未经甲方允许，任何单位和个人不得转让和使用本项目的成果。</w:t>
      </w:r>
    </w:p>
    <w:p w14:paraId="6CB7AD3F">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lang w:val="en-US" w:eastAsia="zh-CN"/>
        </w:rPr>
        <w:t>七、</w:t>
      </w:r>
      <w:r>
        <w:rPr>
          <w:rFonts w:hint="eastAsia" w:ascii="仿宋_GB2312" w:hAnsi="仿宋" w:eastAsia="仿宋_GB2312"/>
          <w:b/>
          <w:bCs/>
          <w:sz w:val="28"/>
          <w:szCs w:val="28"/>
        </w:rPr>
        <w:t>服务质量保证</w:t>
      </w:r>
    </w:p>
    <w:p w14:paraId="2AD85B3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2E11429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766E8AE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13D27EAB">
      <w:pPr>
        <w:keepNext w:val="0"/>
        <w:keepLines w:val="0"/>
        <w:pageBreakBefore w:val="0"/>
        <w:kinsoku/>
        <w:wordWrap/>
        <w:overflowPunct/>
        <w:topLinePunct w:val="0"/>
        <w:bidi w:val="0"/>
        <w:adjustRightInd/>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 w:eastAsia="仿宋_GB2312"/>
          <w:bCs/>
          <w:sz w:val="28"/>
          <w:szCs w:val="28"/>
        </w:rPr>
        <w:t>（四）乙方需设有详细的技术资料档案和服务档案以便于更好地提供服务</w:t>
      </w:r>
      <w:r>
        <w:rPr>
          <w:rFonts w:hint="eastAsia" w:ascii="仿宋_GB2312" w:hAnsi="仿宋_GB2312" w:eastAsia="仿宋_GB2312" w:cs="仿宋_GB2312"/>
          <w:color w:val="auto"/>
          <w:sz w:val="28"/>
          <w:szCs w:val="28"/>
          <w:highlight w:val="none"/>
          <w:lang w:val="en-US" w:eastAsia="zh-CN"/>
        </w:rPr>
        <w:t>。</w:t>
      </w:r>
    </w:p>
    <w:p w14:paraId="4BDF581F">
      <w:pPr>
        <w:autoSpaceDE w:val="0"/>
        <w:autoSpaceDN w:val="0"/>
        <w:adjustRightInd w:val="0"/>
        <w:snapToGrid w:val="0"/>
        <w:spacing w:line="360" w:lineRule="auto"/>
        <w:ind w:firstLine="560" w:firstLineChars="20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（五）</w:t>
      </w:r>
      <w:r>
        <w:rPr>
          <w:rFonts w:hint="eastAsia" w:ascii="仿宋_GB2312" w:hAnsi="仿宋" w:eastAsia="仿宋_GB2312"/>
          <w:bCs/>
          <w:sz w:val="28"/>
          <w:szCs w:val="28"/>
        </w:rPr>
        <w:t>乙方</w:t>
      </w:r>
      <w:r>
        <w:rPr>
          <w:rFonts w:hint="eastAsia" w:ascii="仿宋_GB2312" w:hAnsi="仿宋_GB2312" w:eastAsia="仿宋_GB2312" w:cs="仿宋_GB2312"/>
          <w:b w:val="0"/>
          <w:bCs w:val="0"/>
          <w:color w:val="auto"/>
          <w:sz w:val="28"/>
          <w:szCs w:val="28"/>
          <w:highlight w:val="none"/>
          <w:lang w:val="en-US" w:eastAsia="zh-CN"/>
        </w:rPr>
        <w:t>应确保按时、准确、妥善的处理服务人员的薪酬管理和工资发放、社保办理及个税代扣代缴工作，避免发生劳动仲裁、诉讼事件。</w:t>
      </w:r>
    </w:p>
    <w:p w14:paraId="59354792">
      <w:pPr>
        <w:autoSpaceDE w:val="0"/>
        <w:autoSpaceDN w:val="0"/>
        <w:adjustRightInd w:val="0"/>
        <w:snapToGrid w:val="0"/>
        <w:spacing w:line="360" w:lineRule="auto"/>
        <w:ind w:firstLine="560" w:firstLineChars="200"/>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（六）</w:t>
      </w:r>
      <w:r>
        <w:rPr>
          <w:rFonts w:hint="eastAsia" w:ascii="仿宋_GB2312" w:hAnsi="仿宋" w:eastAsia="仿宋_GB2312"/>
          <w:bCs/>
          <w:sz w:val="28"/>
          <w:szCs w:val="28"/>
        </w:rPr>
        <w:t>乙方</w:t>
      </w:r>
      <w:r>
        <w:rPr>
          <w:rFonts w:hint="eastAsia" w:ascii="仿宋_GB2312" w:hAnsi="仿宋_GB2312" w:eastAsia="仿宋_GB2312" w:cs="仿宋_GB2312"/>
          <w:b w:val="0"/>
          <w:bCs w:val="0"/>
          <w:color w:val="auto"/>
          <w:sz w:val="28"/>
          <w:szCs w:val="28"/>
          <w:highlight w:val="none"/>
          <w:lang w:val="en-US" w:eastAsia="zh-CN"/>
        </w:rPr>
        <w:t>应确保及时、准确、妥善的处理服务人员的社保档案管理、避免发生人事纠纷。</w:t>
      </w:r>
    </w:p>
    <w:p w14:paraId="7762F567">
      <w:pPr>
        <w:autoSpaceDE w:val="0"/>
        <w:autoSpaceDN w:val="0"/>
        <w:adjustRightInd w:val="0"/>
        <w:snapToGrid w:val="0"/>
        <w:spacing w:line="360" w:lineRule="auto"/>
        <w:ind w:firstLine="560" w:firstLineChars="200"/>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（七）</w:t>
      </w:r>
      <w:r>
        <w:rPr>
          <w:rFonts w:hint="eastAsia" w:ascii="仿宋_GB2312" w:hAnsi="仿宋" w:eastAsia="仿宋_GB2312"/>
          <w:bCs/>
          <w:sz w:val="28"/>
          <w:szCs w:val="28"/>
        </w:rPr>
        <w:t>乙方</w:t>
      </w:r>
      <w:r>
        <w:rPr>
          <w:rFonts w:hint="eastAsia" w:ascii="仿宋_GB2312" w:hAnsi="仿宋_GB2312" w:eastAsia="仿宋_GB2312" w:cs="仿宋_GB2312"/>
          <w:b w:val="0"/>
          <w:bCs w:val="0"/>
          <w:color w:val="auto"/>
          <w:sz w:val="28"/>
          <w:szCs w:val="28"/>
          <w:highlight w:val="none"/>
          <w:lang w:val="en-US" w:eastAsia="zh-CN"/>
        </w:rPr>
        <w:t>妥善处理服务人员的劳动仲裁、劳动诉讼及人事纠纷，避免妨碍甲方的正常工作或给采购人带来不利社会影响。</w:t>
      </w:r>
    </w:p>
    <w:p w14:paraId="27D288BE">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_GB2312" w:eastAsia="仿宋_GB2312" w:cs="仿宋_GB2312"/>
          <w:b/>
          <w:bCs/>
          <w:color w:val="auto"/>
          <w:sz w:val="28"/>
          <w:szCs w:val="28"/>
          <w:highlight w:val="none"/>
          <w:lang w:val="en-US" w:eastAsia="zh-CN"/>
        </w:rPr>
        <w:t>八</w:t>
      </w:r>
      <w:r>
        <w:rPr>
          <w:rFonts w:hint="eastAsia" w:ascii="仿宋_GB2312" w:hAnsi="仿宋_GB2312" w:eastAsia="仿宋_GB2312" w:cs="仿宋_GB2312"/>
          <w:b/>
          <w:bCs/>
          <w:color w:val="auto"/>
          <w:sz w:val="28"/>
          <w:szCs w:val="28"/>
          <w:highlight w:val="none"/>
        </w:rPr>
        <w:t>、</w:t>
      </w:r>
      <w:r>
        <w:rPr>
          <w:rFonts w:hint="eastAsia" w:ascii="仿宋_GB2312" w:hAnsi="仿宋" w:eastAsia="仿宋_GB2312"/>
          <w:b/>
          <w:sz w:val="28"/>
          <w:szCs w:val="28"/>
        </w:rPr>
        <w:t>验收</w:t>
      </w:r>
    </w:p>
    <w:p w14:paraId="01A0BE70">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w:t>
      </w:r>
      <w:r>
        <w:rPr>
          <w:rFonts w:ascii="仿宋_GB2312" w:hAnsi="仿宋" w:eastAsia="仿宋_GB2312"/>
          <w:bCs/>
          <w:sz w:val="28"/>
          <w:szCs w:val="28"/>
        </w:rPr>
        <w:t>本项目验收费用，由</w:t>
      </w:r>
      <w:r>
        <w:rPr>
          <w:rFonts w:hint="eastAsia" w:ascii="仿宋_GB2312" w:hAnsi="仿宋" w:eastAsia="仿宋_GB2312"/>
          <w:bCs/>
          <w:sz w:val="28"/>
          <w:szCs w:val="28"/>
        </w:rPr>
        <w:t>乙方</w:t>
      </w:r>
      <w:r>
        <w:rPr>
          <w:rFonts w:ascii="仿宋_GB2312" w:hAnsi="仿宋" w:eastAsia="仿宋_GB2312"/>
          <w:bCs/>
          <w:sz w:val="28"/>
          <w:szCs w:val="28"/>
        </w:rPr>
        <w:t>自行承担。</w:t>
      </w:r>
    </w:p>
    <w:p w14:paraId="4F85840F">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（二）服务期满后，由乙方向甲方递交验收通知书，经甲方确认后，组织乙方进行验收。验收合格后，填写项目验收单作为对本月服务的最终认可。</w:t>
      </w:r>
    </w:p>
    <w:p w14:paraId="5E90BDB5">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（三）验收依据：</w:t>
      </w:r>
    </w:p>
    <w:p w14:paraId="377BD9A6">
      <w:pPr>
        <w:autoSpaceDE w:val="0"/>
        <w:autoSpaceDN w:val="0"/>
        <w:adjustRightInd w:val="0"/>
        <w:snapToGrid w:val="0"/>
        <w:spacing w:line="360" w:lineRule="auto"/>
        <w:ind w:firstLine="560" w:firstLineChars="200"/>
        <w:rPr>
          <w:rFonts w:hint="eastAsia" w:ascii="仿宋_GB2312" w:hAnsi="仿宋" w:eastAsia="仿宋_GB2312" w:cs="宋体"/>
          <w:bCs/>
          <w:sz w:val="28"/>
          <w:szCs w:val="28"/>
        </w:rPr>
      </w:pPr>
      <w:r>
        <w:rPr>
          <w:rFonts w:hint="eastAsia" w:ascii="仿宋_GB2312" w:hAnsi="仿宋" w:eastAsia="仿宋_GB2312" w:cs="宋体"/>
          <w:bCs/>
          <w:sz w:val="28"/>
          <w:szCs w:val="28"/>
        </w:rPr>
        <w:t>1、本合同及附加文本；</w:t>
      </w:r>
    </w:p>
    <w:p w14:paraId="45DD375C">
      <w:pPr>
        <w:autoSpaceDE w:val="0"/>
        <w:autoSpaceDN w:val="0"/>
        <w:adjustRightInd w:val="0"/>
        <w:snapToGrid w:val="0"/>
        <w:spacing w:line="360" w:lineRule="auto"/>
        <w:ind w:firstLine="560" w:firstLineChars="200"/>
        <w:rPr>
          <w:rFonts w:hint="eastAsia" w:ascii="仿宋_GB2312" w:hAnsi="仿宋" w:eastAsia="仿宋_GB2312" w:cs="宋体"/>
          <w:bCs/>
          <w:sz w:val="28"/>
          <w:szCs w:val="28"/>
        </w:rPr>
      </w:pPr>
      <w:r>
        <w:rPr>
          <w:rFonts w:hint="eastAsia" w:ascii="仿宋_GB2312" w:hAnsi="仿宋" w:eastAsia="仿宋_GB2312" w:cs="宋体"/>
          <w:bCs/>
          <w:sz w:val="28"/>
          <w:szCs w:val="28"/>
        </w:rPr>
        <w:t>2、磋商文件、</w:t>
      </w:r>
      <w:r>
        <w:rPr>
          <w:rFonts w:hint="eastAsia" w:ascii="仿宋_GB2312" w:hAnsi="仿宋" w:eastAsia="仿宋_GB2312" w:cs="宋体"/>
          <w:bCs/>
          <w:sz w:val="28"/>
          <w:szCs w:val="28"/>
          <w:lang w:val="en-US" w:eastAsia="zh-CN"/>
        </w:rPr>
        <w:t>乙方</w:t>
      </w:r>
      <w:r>
        <w:rPr>
          <w:rFonts w:hint="eastAsia" w:ascii="仿宋_GB2312" w:hAnsi="仿宋" w:eastAsia="仿宋_GB2312" w:cs="宋体"/>
          <w:bCs/>
          <w:sz w:val="28"/>
          <w:szCs w:val="28"/>
        </w:rPr>
        <w:t>的响应文件及澄清（承诺）函；</w:t>
      </w:r>
    </w:p>
    <w:p w14:paraId="2C3C0D5B">
      <w:pPr>
        <w:autoSpaceDE w:val="0"/>
        <w:autoSpaceDN w:val="0"/>
        <w:adjustRightInd w:val="0"/>
        <w:snapToGrid w:val="0"/>
        <w:spacing w:line="360" w:lineRule="auto"/>
        <w:ind w:firstLine="560" w:firstLineChars="200"/>
        <w:rPr>
          <w:rFonts w:hint="eastAsia" w:ascii="仿宋_GB2312" w:hAnsi="仿宋" w:eastAsia="仿宋_GB2312" w:cs="宋体"/>
          <w:bCs/>
          <w:sz w:val="28"/>
          <w:szCs w:val="28"/>
          <w:lang w:val="en-US" w:eastAsia="zh-CN"/>
        </w:rPr>
      </w:pPr>
      <w:r>
        <w:rPr>
          <w:rFonts w:hint="eastAsia" w:ascii="仿宋_GB2312" w:hAnsi="仿宋" w:eastAsia="仿宋_GB2312" w:cs="宋体"/>
          <w:bCs/>
          <w:sz w:val="28"/>
          <w:szCs w:val="28"/>
        </w:rPr>
        <w:t>3、国家相应的标准、规范</w:t>
      </w:r>
      <w:r>
        <w:rPr>
          <w:rFonts w:hint="eastAsia" w:ascii="仿宋_GB2312" w:hAnsi="仿宋" w:eastAsia="仿宋_GB2312" w:cs="宋体"/>
          <w:bCs/>
          <w:sz w:val="28"/>
          <w:szCs w:val="28"/>
          <w:lang w:val="en-US" w:eastAsia="zh-CN"/>
        </w:rPr>
        <w:t>。</w:t>
      </w:r>
    </w:p>
    <w:p w14:paraId="4C59A7FD">
      <w:pPr>
        <w:keepNext w:val="0"/>
        <w:keepLines w:val="0"/>
        <w:pageBreakBefore w:val="0"/>
        <w:widowControl w:val="0"/>
        <w:kinsoku/>
        <w:wordWrap/>
        <w:overflowPunct/>
        <w:topLinePunct w:val="0"/>
        <w:bidi w:val="0"/>
        <w:adjustRightInd/>
        <w:spacing w:line="360" w:lineRule="auto"/>
        <w:ind w:firstLine="562" w:firstLineChars="200"/>
        <w:jc w:val="left"/>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九、违约责任</w:t>
      </w:r>
    </w:p>
    <w:p w14:paraId="0122AF52">
      <w:pPr>
        <w:pStyle w:val="6"/>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（一）按《中华人民共和国民法典》中的相关条款执行。</w:t>
      </w:r>
    </w:p>
    <w:p w14:paraId="448B6916">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b w:val="0"/>
          <w:bCs w:val="0"/>
          <w:color w:val="auto"/>
          <w:kern w:val="2"/>
          <w:sz w:val="28"/>
          <w:szCs w:val="28"/>
          <w:lang w:val="en-US" w:eastAsia="zh-CN" w:bidi="ar-SA"/>
        </w:rPr>
      </w:pPr>
      <w:r>
        <w:rPr>
          <w:rFonts w:hint="eastAsia" w:ascii="仿宋_GB2312" w:hAnsi="仿宋" w:eastAsia="仿宋_GB2312"/>
          <w:bCs/>
          <w:sz w:val="28"/>
          <w:szCs w:val="28"/>
        </w:rPr>
        <w:t>（二）</w:t>
      </w:r>
      <w:r>
        <w:rPr>
          <w:rFonts w:ascii="仿宋_GB2312" w:hAnsi="仿宋" w:eastAsia="仿宋_GB2312"/>
          <w:bCs/>
          <w:sz w:val="28"/>
          <w:szCs w:val="28"/>
        </w:rPr>
        <w:t>未按合同要求提供</w:t>
      </w:r>
      <w:r>
        <w:rPr>
          <w:rFonts w:hint="eastAsia" w:ascii="仿宋_GB2312" w:hAnsi="仿宋" w:eastAsia="仿宋_GB2312"/>
          <w:bCs/>
          <w:sz w:val="28"/>
          <w:szCs w:val="28"/>
        </w:rPr>
        <w:t>服务或服务</w:t>
      </w:r>
      <w:r>
        <w:rPr>
          <w:rFonts w:ascii="仿宋_GB2312" w:hAnsi="仿宋" w:eastAsia="仿宋_GB2312"/>
          <w:bCs/>
          <w:sz w:val="28"/>
          <w:szCs w:val="28"/>
        </w:rPr>
        <w:t>质量不能满足</w:t>
      </w:r>
      <w:r>
        <w:rPr>
          <w:rFonts w:hint="eastAsia" w:ascii="仿宋_GB2312" w:hAnsi="仿宋" w:eastAsia="仿宋_GB2312"/>
          <w:bCs/>
          <w:sz w:val="28"/>
          <w:szCs w:val="28"/>
        </w:rPr>
        <w:t>本次采购</w:t>
      </w:r>
      <w:r>
        <w:rPr>
          <w:rFonts w:ascii="仿宋_GB2312" w:hAnsi="仿宋" w:eastAsia="仿宋_GB2312"/>
          <w:bCs/>
          <w:sz w:val="28"/>
          <w:szCs w:val="28"/>
        </w:rPr>
        <w:t>要求，</w:t>
      </w:r>
      <w:r>
        <w:rPr>
          <w:rFonts w:hint="eastAsia" w:ascii="仿宋_GB2312" w:hAnsi="仿宋" w:eastAsia="仿宋_GB2312"/>
          <w:bCs/>
          <w:sz w:val="28"/>
          <w:szCs w:val="28"/>
        </w:rPr>
        <w:t>甲方</w:t>
      </w:r>
      <w:r>
        <w:rPr>
          <w:rFonts w:ascii="仿宋_GB2312" w:hAnsi="仿宋" w:eastAsia="仿宋_GB2312"/>
          <w:bCs/>
          <w:sz w:val="28"/>
          <w:szCs w:val="28"/>
        </w:rPr>
        <w:t>会同监督机构、</w:t>
      </w:r>
      <w:r>
        <w:rPr>
          <w:rFonts w:hint="eastAsia" w:ascii="仿宋_GB2312" w:hAnsi="仿宋" w:eastAsia="仿宋_GB2312"/>
          <w:bCs/>
          <w:sz w:val="28"/>
          <w:szCs w:val="28"/>
        </w:rPr>
        <w:t>采购</w:t>
      </w:r>
      <w:r>
        <w:rPr>
          <w:rFonts w:ascii="仿宋_GB2312" w:hAnsi="仿宋" w:eastAsia="仿宋_GB2312"/>
          <w:bCs/>
          <w:sz w:val="28"/>
          <w:szCs w:val="28"/>
        </w:rPr>
        <w:t>代理机构有权终止合同和对</w:t>
      </w:r>
      <w:r>
        <w:rPr>
          <w:rFonts w:hint="eastAsia" w:ascii="仿宋_GB2312" w:hAnsi="仿宋" w:eastAsia="仿宋_GB2312"/>
          <w:bCs/>
          <w:sz w:val="28"/>
          <w:szCs w:val="28"/>
        </w:rPr>
        <w:t>乙方</w:t>
      </w:r>
      <w:r>
        <w:rPr>
          <w:rFonts w:ascii="仿宋_GB2312" w:hAnsi="仿宋" w:eastAsia="仿宋_GB2312"/>
          <w:bCs/>
          <w:sz w:val="28"/>
          <w:szCs w:val="28"/>
        </w:rPr>
        <w:t>违约行为进行追究，同时按政府采购法的有关规定进行相应的处罚</w:t>
      </w:r>
      <w:r>
        <w:rPr>
          <w:rFonts w:hint="eastAsia" w:ascii="仿宋_GB2312" w:hAnsi="仿宋_GB2312" w:eastAsia="仿宋_GB2312" w:cs="仿宋_GB2312"/>
          <w:b w:val="0"/>
          <w:bCs w:val="0"/>
          <w:color w:val="auto"/>
          <w:kern w:val="2"/>
          <w:sz w:val="28"/>
          <w:szCs w:val="28"/>
          <w:lang w:val="en-US" w:eastAsia="zh-CN" w:bidi="ar-SA"/>
        </w:rPr>
        <w:t>。</w:t>
      </w:r>
    </w:p>
    <w:p w14:paraId="44F04919">
      <w:pPr>
        <w:keepNext w:val="0"/>
        <w:keepLines w:val="0"/>
        <w:pageBreakBefore w:val="0"/>
        <w:widowControl w:val="0"/>
        <w:kinsoku/>
        <w:wordWrap/>
        <w:overflowPunct/>
        <w:topLinePunct w:val="0"/>
        <w:bidi w:val="0"/>
        <w:adjustRightInd/>
        <w:spacing w:line="360" w:lineRule="auto"/>
        <w:ind w:firstLine="562" w:firstLineChars="200"/>
        <w:jc w:val="left"/>
        <w:rPr>
          <w:rFonts w:hint="eastAsia" w:ascii="仿宋_GB2312" w:hAnsi="仿宋_GB2312" w:eastAsia="仿宋_GB2312" w:cs="仿宋_GB2312"/>
          <w:b/>
          <w:bCs/>
          <w:color w:val="auto"/>
          <w:kern w:val="2"/>
          <w:sz w:val="28"/>
          <w:szCs w:val="28"/>
          <w:lang w:val="en-US" w:eastAsia="zh-CN" w:bidi="ar-SA"/>
        </w:rPr>
      </w:pPr>
      <w:r>
        <w:rPr>
          <w:rFonts w:hint="eastAsia" w:ascii="仿宋_GB2312" w:hAnsi="仿宋_GB2312" w:eastAsia="仿宋_GB2312" w:cs="仿宋_GB2312"/>
          <w:b/>
          <w:bCs/>
          <w:color w:val="auto"/>
          <w:kern w:val="2"/>
          <w:sz w:val="28"/>
          <w:szCs w:val="28"/>
          <w:lang w:val="en-US" w:eastAsia="zh-CN" w:bidi="ar-SA"/>
        </w:rPr>
        <w:t>十、保密、信息安全与隐私保护</w:t>
      </w:r>
    </w:p>
    <w:p w14:paraId="428134B7">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一）乙方及全部工作人员严格遵守《中华人民共和国保守国家秘密法》、《中华人民共和国个人信息保护法》等相关法规，对服务全过程接触的军休干部身份信息、家庭信息、健康信息、待遇信息、档案资料、内部工作文件承担永久保密义务。</w:t>
      </w:r>
    </w:p>
    <w:p w14:paraId="1DD390F7">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（二）严禁私自拍照、复印、摘抄、外传、微信转发、网络泄露、私自留存军休干部所有个人信息与内部资料。</w:t>
      </w:r>
    </w:p>
    <w:p w14:paraId="4386AB66">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（三）服务期满合同终止，全部台账、电子数据、纸质资料、档案副本完整移交甲方，乙方彻底删除、销毁所有内部留存数据、备份资料，不得私自留存。</w:t>
      </w:r>
    </w:p>
    <w:p w14:paraId="5C968F1B">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（四）妥善保管甲方办公设备、物资、慰问物品，人为损坏、丢失照价赔偿。</w:t>
      </w:r>
    </w:p>
    <w:p w14:paraId="225BD16D">
      <w:pPr>
        <w:keepNext w:val="0"/>
        <w:keepLines w:val="0"/>
        <w:pageBreakBefore w:val="0"/>
        <w:widowControl w:val="0"/>
        <w:kinsoku/>
        <w:wordWrap/>
        <w:overflowPunct/>
        <w:topLinePunct w:val="0"/>
        <w:bidi w:val="0"/>
        <w:adjustRightInd/>
        <w:spacing w:line="360" w:lineRule="auto"/>
        <w:ind w:firstLine="560" w:firstLineChars="200"/>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（五）双方签订专项保密协议，作为合同不可分割附件。</w:t>
      </w:r>
    </w:p>
    <w:p w14:paraId="23B27D05">
      <w:pPr>
        <w:autoSpaceDE w:val="0"/>
        <w:autoSpaceDN w:val="0"/>
        <w:adjustRightInd w:val="0"/>
        <w:snapToGrid w:val="0"/>
        <w:spacing w:line="360" w:lineRule="auto"/>
        <w:ind w:firstLine="562" w:firstLineChars="200"/>
        <w:rPr>
          <w:rFonts w:ascii="仿宋_GB2312" w:hAnsi="仿宋" w:eastAsia="仿宋_GB2312"/>
          <w:b/>
          <w:bCs/>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bCs/>
          <w:sz w:val="28"/>
          <w:szCs w:val="28"/>
        </w:rPr>
        <w:t>、其它事项</w:t>
      </w:r>
    </w:p>
    <w:p w14:paraId="1CD056FE">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（一）乙方</w:t>
      </w:r>
      <w:r>
        <w:rPr>
          <w:rFonts w:ascii="仿宋_GB2312" w:hAnsi="仿宋" w:eastAsia="仿宋_GB2312"/>
          <w:bCs/>
          <w:sz w:val="28"/>
          <w:szCs w:val="28"/>
        </w:rPr>
        <w:t>不得转让、分包给其它单位或个人。</w:t>
      </w:r>
    </w:p>
    <w:p w14:paraId="4E22B55B">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（二）乙方</w:t>
      </w:r>
      <w:r>
        <w:rPr>
          <w:rFonts w:ascii="仿宋_GB2312" w:hAnsi="仿宋" w:eastAsia="仿宋_GB2312"/>
          <w:bCs/>
          <w:sz w:val="28"/>
          <w:szCs w:val="28"/>
        </w:rPr>
        <w:t>的</w:t>
      </w:r>
      <w:r>
        <w:rPr>
          <w:rFonts w:hint="eastAsia" w:ascii="仿宋_GB2312" w:hAnsi="仿宋" w:eastAsia="仿宋_GB2312"/>
          <w:bCs/>
          <w:sz w:val="28"/>
          <w:szCs w:val="28"/>
        </w:rPr>
        <w:t>磋商响应文件</w:t>
      </w:r>
      <w:r>
        <w:rPr>
          <w:rFonts w:ascii="仿宋_GB2312" w:hAnsi="仿宋" w:eastAsia="仿宋_GB2312"/>
          <w:bCs/>
          <w:sz w:val="28"/>
          <w:szCs w:val="28"/>
        </w:rPr>
        <w:t>和承诺等内容将列入合同。</w:t>
      </w:r>
    </w:p>
    <w:p w14:paraId="5083FDCA">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 w:eastAsia="仿宋_GB2312"/>
          <w:b/>
          <w:sz w:val="28"/>
          <w:szCs w:val="28"/>
          <w:lang w:val="en-US" w:eastAsia="zh-CN"/>
        </w:rPr>
        <w:t>十二</w:t>
      </w:r>
      <w:r>
        <w:rPr>
          <w:rFonts w:hint="eastAsia" w:ascii="仿宋_GB2312" w:hAnsi="仿宋" w:eastAsia="仿宋_GB2312"/>
          <w:b/>
          <w:sz w:val="28"/>
          <w:szCs w:val="28"/>
        </w:rPr>
        <w:t>、合同争议解决的方式</w:t>
      </w:r>
    </w:p>
    <w:p w14:paraId="1A88FE56">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09A37769">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（一）提交西安仲裁委员会仲裁；</w:t>
      </w:r>
    </w:p>
    <w:p w14:paraId="652BE427">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654319DB">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 w:eastAsia="仿宋_GB2312"/>
          <w:b/>
          <w:sz w:val="28"/>
          <w:szCs w:val="28"/>
          <w:lang w:val="en-US" w:eastAsia="zh-CN"/>
        </w:rPr>
        <w:t>十三</w:t>
      </w:r>
      <w:r>
        <w:rPr>
          <w:rFonts w:hint="eastAsia" w:ascii="仿宋_GB2312" w:hAnsi="仿宋" w:eastAsia="仿宋_GB2312"/>
          <w:b/>
          <w:sz w:val="28"/>
          <w:szCs w:val="28"/>
        </w:rPr>
        <w:t>、合同生效</w:t>
      </w:r>
    </w:p>
    <w:p w14:paraId="5977FA03">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128D3745">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2D4E30F3">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（三）本合同一式份，甲乙双方各执份。</w:t>
      </w:r>
    </w:p>
    <w:p w14:paraId="0263E25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 w:eastAsia="仿宋_GB2312"/>
          <w:bCs/>
          <w:sz w:val="28"/>
          <w:szCs w:val="28"/>
        </w:rPr>
        <w:t>（四）本合同如有未尽事宜，甲、乙双方协商解决</w:t>
      </w:r>
      <w:r>
        <w:rPr>
          <w:rFonts w:hint="eastAsia" w:ascii="仿宋_GB2312" w:hAnsi="仿宋_GB2312" w:eastAsia="仿宋_GB2312" w:cs="仿宋_GB2312"/>
          <w:bCs/>
          <w:sz w:val="28"/>
          <w:szCs w:val="28"/>
          <w:highlight w:val="none"/>
        </w:rPr>
        <w:t>。</w:t>
      </w:r>
    </w:p>
    <w:p w14:paraId="11B9A8DE">
      <w:pPr>
        <w:pStyle w:val="2"/>
        <w:rPr>
          <w:rFonts w:hint="eastAsia" w:ascii="仿宋_GB2312" w:hAnsi="仿宋_GB2312" w:eastAsia="仿宋_GB2312" w:cs="仿宋_GB2312"/>
          <w:bCs/>
          <w:sz w:val="28"/>
          <w:szCs w:val="28"/>
          <w:highlight w:val="none"/>
        </w:rPr>
      </w:pPr>
    </w:p>
    <w:p w14:paraId="18531616">
      <w:pPr>
        <w:pStyle w:val="2"/>
        <w:rPr>
          <w:rFonts w:hint="eastAsia" w:ascii="仿宋_GB2312" w:hAnsi="仿宋_GB2312" w:eastAsia="仿宋_GB2312" w:cs="仿宋_GB2312"/>
          <w:bCs/>
          <w:sz w:val="28"/>
          <w:szCs w:val="28"/>
          <w:highlight w:val="none"/>
        </w:rPr>
      </w:pPr>
    </w:p>
    <w:tbl>
      <w:tblPr>
        <w:tblStyle w:val="14"/>
        <w:tblW w:w="0" w:type="auto"/>
        <w:jc w:val="center"/>
        <w:tblLayout w:type="fixed"/>
        <w:tblCellMar>
          <w:top w:w="0" w:type="dxa"/>
          <w:left w:w="108" w:type="dxa"/>
          <w:bottom w:w="0" w:type="dxa"/>
          <w:right w:w="108" w:type="dxa"/>
        </w:tblCellMar>
      </w:tblPr>
      <w:tblGrid>
        <w:gridCol w:w="4201"/>
        <w:gridCol w:w="4202"/>
      </w:tblGrid>
      <w:tr w14:paraId="14244E1A">
        <w:tblPrEx>
          <w:tblCellMar>
            <w:top w:w="0" w:type="dxa"/>
            <w:left w:w="108" w:type="dxa"/>
            <w:bottom w:w="0" w:type="dxa"/>
            <w:right w:w="108" w:type="dxa"/>
          </w:tblCellMar>
        </w:tblPrEx>
        <w:trPr>
          <w:trHeight w:val="567" w:hRule="exact"/>
          <w:jc w:val="center"/>
        </w:trPr>
        <w:tc>
          <w:tcPr>
            <w:tcW w:w="4201" w:type="dxa"/>
            <w:vAlign w:val="center"/>
          </w:tcPr>
          <w:p w14:paraId="210E0B28">
            <w:pPr>
              <w:rPr>
                <w:rFonts w:ascii="仿宋_GB2312" w:hAnsi="仿宋_GB2312" w:eastAsia="仿宋_GB2312" w:cs="仿宋_GB2312"/>
                <w:spacing w:val="-20"/>
                <w:sz w:val="28"/>
                <w:szCs w:val="28"/>
              </w:rPr>
            </w:pPr>
            <w:r>
              <w:rPr>
                <w:rFonts w:ascii="仿宋_GB2312" w:hAnsi="仿宋_GB2312" w:eastAsia="仿宋_GB2312" w:cs="仿宋_GB2312"/>
                <w:sz w:val="28"/>
                <w:szCs w:val="28"/>
              </w:rPr>
              <w:br w:type="page"/>
            </w:r>
            <w:r>
              <w:rPr>
                <w:rFonts w:hint="eastAsia" w:ascii="仿宋_GB2312" w:hAnsi="仿宋_GB2312" w:eastAsia="仿宋_GB2312" w:cs="仿宋_GB2312"/>
                <w:spacing w:val="-20"/>
                <w:sz w:val="28"/>
                <w:szCs w:val="28"/>
              </w:rPr>
              <w:t>甲  方</w:t>
            </w:r>
          </w:p>
        </w:tc>
        <w:tc>
          <w:tcPr>
            <w:tcW w:w="4202" w:type="dxa"/>
            <w:vAlign w:val="center"/>
          </w:tcPr>
          <w:p w14:paraId="462757C7">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710A2005">
        <w:tblPrEx>
          <w:tblCellMar>
            <w:top w:w="0" w:type="dxa"/>
            <w:left w:w="108" w:type="dxa"/>
            <w:bottom w:w="0" w:type="dxa"/>
            <w:right w:w="108" w:type="dxa"/>
          </w:tblCellMar>
        </w:tblPrEx>
        <w:trPr>
          <w:trHeight w:val="567" w:hRule="exact"/>
          <w:jc w:val="center"/>
        </w:trPr>
        <w:tc>
          <w:tcPr>
            <w:tcW w:w="4201" w:type="dxa"/>
            <w:vAlign w:val="center"/>
          </w:tcPr>
          <w:p w14:paraId="06743F43">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vAlign w:val="center"/>
          </w:tcPr>
          <w:p w14:paraId="6D6B79A5">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6706FCE9">
        <w:tblPrEx>
          <w:tblCellMar>
            <w:top w:w="0" w:type="dxa"/>
            <w:left w:w="108" w:type="dxa"/>
            <w:bottom w:w="0" w:type="dxa"/>
            <w:right w:w="108" w:type="dxa"/>
          </w:tblCellMar>
        </w:tblPrEx>
        <w:trPr>
          <w:trHeight w:val="567" w:hRule="exact"/>
          <w:jc w:val="center"/>
        </w:trPr>
        <w:tc>
          <w:tcPr>
            <w:tcW w:w="4201" w:type="dxa"/>
            <w:vAlign w:val="center"/>
          </w:tcPr>
          <w:p w14:paraId="3936894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vAlign w:val="center"/>
          </w:tcPr>
          <w:p w14:paraId="6EE55DB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2C279CB7">
        <w:tblPrEx>
          <w:tblCellMar>
            <w:top w:w="0" w:type="dxa"/>
            <w:left w:w="108" w:type="dxa"/>
            <w:bottom w:w="0" w:type="dxa"/>
            <w:right w:w="108" w:type="dxa"/>
          </w:tblCellMar>
        </w:tblPrEx>
        <w:trPr>
          <w:trHeight w:val="567" w:hRule="exact"/>
          <w:jc w:val="center"/>
        </w:trPr>
        <w:tc>
          <w:tcPr>
            <w:tcW w:w="4201" w:type="dxa"/>
            <w:vAlign w:val="center"/>
          </w:tcPr>
          <w:p w14:paraId="09EB548E">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vAlign w:val="center"/>
          </w:tcPr>
          <w:p w14:paraId="38C441C2">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27C40FD7">
        <w:tblPrEx>
          <w:tblCellMar>
            <w:top w:w="0" w:type="dxa"/>
            <w:left w:w="108" w:type="dxa"/>
            <w:bottom w:w="0" w:type="dxa"/>
            <w:right w:w="108" w:type="dxa"/>
          </w:tblCellMar>
        </w:tblPrEx>
        <w:trPr>
          <w:trHeight w:val="567" w:hRule="exact"/>
          <w:jc w:val="center"/>
        </w:trPr>
        <w:tc>
          <w:tcPr>
            <w:tcW w:w="4201" w:type="dxa"/>
            <w:vAlign w:val="center"/>
          </w:tcPr>
          <w:p w14:paraId="0565617B">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vAlign w:val="center"/>
          </w:tcPr>
          <w:p w14:paraId="6535565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20FA1988">
        <w:tblPrEx>
          <w:tblCellMar>
            <w:top w:w="0" w:type="dxa"/>
            <w:left w:w="108" w:type="dxa"/>
            <w:bottom w:w="0" w:type="dxa"/>
            <w:right w:w="108" w:type="dxa"/>
          </w:tblCellMar>
        </w:tblPrEx>
        <w:trPr>
          <w:trHeight w:val="567" w:hRule="exact"/>
          <w:jc w:val="center"/>
        </w:trPr>
        <w:tc>
          <w:tcPr>
            <w:tcW w:w="4201" w:type="dxa"/>
            <w:vAlign w:val="center"/>
          </w:tcPr>
          <w:p w14:paraId="01D611C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c>
          <w:tcPr>
            <w:tcW w:w="4202" w:type="dxa"/>
            <w:vAlign w:val="center"/>
          </w:tcPr>
          <w:p w14:paraId="191A153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r>
      <w:tr w14:paraId="28F4580B">
        <w:tblPrEx>
          <w:tblCellMar>
            <w:top w:w="0" w:type="dxa"/>
            <w:left w:w="108" w:type="dxa"/>
            <w:bottom w:w="0" w:type="dxa"/>
            <w:right w:w="108" w:type="dxa"/>
          </w:tblCellMar>
        </w:tblPrEx>
        <w:trPr>
          <w:trHeight w:val="567" w:hRule="exact"/>
          <w:jc w:val="center"/>
        </w:trPr>
        <w:tc>
          <w:tcPr>
            <w:tcW w:w="4201" w:type="dxa"/>
            <w:vAlign w:val="center"/>
          </w:tcPr>
          <w:p w14:paraId="09AFCAE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vAlign w:val="center"/>
          </w:tcPr>
          <w:p w14:paraId="6F18CBEB">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1A311F54">
        <w:tblPrEx>
          <w:tblCellMar>
            <w:top w:w="0" w:type="dxa"/>
            <w:left w:w="108" w:type="dxa"/>
            <w:bottom w:w="0" w:type="dxa"/>
            <w:right w:w="108" w:type="dxa"/>
          </w:tblCellMar>
        </w:tblPrEx>
        <w:trPr>
          <w:trHeight w:val="567" w:hRule="exact"/>
          <w:jc w:val="center"/>
        </w:trPr>
        <w:tc>
          <w:tcPr>
            <w:tcW w:w="4201" w:type="dxa"/>
            <w:vAlign w:val="center"/>
          </w:tcPr>
          <w:p w14:paraId="5B5E3B29">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vAlign w:val="center"/>
          </w:tcPr>
          <w:p w14:paraId="5F5288A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245AA908">
        <w:tblPrEx>
          <w:tblCellMar>
            <w:top w:w="0" w:type="dxa"/>
            <w:left w:w="108" w:type="dxa"/>
            <w:bottom w:w="0" w:type="dxa"/>
            <w:right w:w="108" w:type="dxa"/>
          </w:tblCellMar>
        </w:tblPrEx>
        <w:trPr>
          <w:trHeight w:val="567" w:hRule="exact"/>
          <w:jc w:val="center"/>
        </w:trPr>
        <w:tc>
          <w:tcPr>
            <w:tcW w:w="4201" w:type="dxa"/>
            <w:vAlign w:val="center"/>
          </w:tcPr>
          <w:p w14:paraId="1A51BFFE">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vAlign w:val="center"/>
          </w:tcPr>
          <w:p w14:paraId="012B584E">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07EC68FB">
        <w:tblPrEx>
          <w:tblCellMar>
            <w:top w:w="0" w:type="dxa"/>
            <w:left w:w="108" w:type="dxa"/>
            <w:bottom w:w="0" w:type="dxa"/>
            <w:right w:w="108" w:type="dxa"/>
          </w:tblCellMar>
        </w:tblPrEx>
        <w:trPr>
          <w:trHeight w:val="567" w:hRule="exact"/>
          <w:jc w:val="center"/>
        </w:trPr>
        <w:tc>
          <w:tcPr>
            <w:tcW w:w="4201" w:type="dxa"/>
            <w:vAlign w:val="center"/>
          </w:tcPr>
          <w:p w14:paraId="665DA2D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vAlign w:val="center"/>
          </w:tcPr>
          <w:p w14:paraId="76E38D04">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54F1BB08"/>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4183AE0-54FC-45A9-A01E-94A0BE83157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7E3C4CD1-B0E6-4BE2-A06B-DE973FD3F0B0}"/>
  </w:font>
  <w:font w:name="仿宋_GB2312">
    <w:panose1 w:val="02010609030101010101"/>
    <w:charset w:val="86"/>
    <w:family w:val="modern"/>
    <w:pitch w:val="default"/>
    <w:sig w:usb0="00000001" w:usb1="080E0000" w:usb2="00000000" w:usb3="00000000" w:csb0="00040000" w:csb1="00000000"/>
    <w:embedRegular r:id="rId3" w:fontKey="{2C86D4F5-E0B3-430D-8A08-61D221BDF2E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AD21FF9"/>
    <w:rsid w:val="2C0F4050"/>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698F2D4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360" w:lineRule="auto"/>
      <w:ind w:firstLine="420"/>
    </w:pPr>
    <w:rPr>
      <w:rFonts w:ascii="宋体" w:hAnsi="宋体"/>
      <w:sz w:val="24"/>
    </w:rPr>
  </w:style>
  <w:style w:type="paragraph" w:styleId="3">
    <w:name w:val="Body Text"/>
    <w:basedOn w:val="1"/>
    <w:autoRedefine/>
    <w:qFormat/>
    <w:uiPriority w:val="99"/>
    <w:pPr>
      <w:jc w:val="left"/>
    </w:pPr>
    <w:rPr>
      <w:kern w:val="0"/>
    </w:rPr>
  </w:style>
  <w:style w:type="paragraph" w:styleId="5">
    <w:name w:val="Normal Indent"/>
    <w:basedOn w:val="1"/>
    <w:autoRedefine/>
    <w:qFormat/>
    <w:uiPriority w:val="0"/>
    <w:pPr>
      <w:ind w:firstLine="420"/>
    </w:pPr>
    <w:rPr>
      <w:szCs w:val="21"/>
    </w:rPr>
  </w:style>
  <w:style w:type="paragraph" w:styleId="6">
    <w:name w:val="annotation text"/>
    <w:basedOn w:val="1"/>
    <w:autoRedefine/>
    <w:qFormat/>
    <w:uiPriority w:val="0"/>
    <w:pPr>
      <w:jc w:val="left"/>
    </w:p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HTML Preformatted"/>
    <w:basedOn w:val="1"/>
    <w:qFormat/>
    <w:uiPriority w:val="0"/>
    <w:rPr>
      <w:rFonts w:ascii="Courier New" w:hAnsi="Courier New"/>
      <w:sz w:val="20"/>
    </w:rPr>
  </w:style>
  <w:style w:type="paragraph" w:styleId="13">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8</Pages>
  <Words>2370</Words>
  <Characters>2387</Characters>
  <Lines>12</Lines>
  <Paragraphs>3</Paragraphs>
  <TotalTime>0</TotalTime>
  <ScaleCrop>false</ScaleCrop>
  <LinksUpToDate>false</LinksUpToDate>
  <CharactersWithSpaces>2581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2026-06-03T09:25:50Z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