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版本号：YZZB-2026010720260715001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2026年度城市文明建设综合服务项目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YZZB-20260107</w:t>
      </w:r>
      <w:r>
        <w:br/>
      </w:r>
      <w:r>
        <w:br/>
      </w:r>
      <w:r>
        <w:br/>
      </w:r>
    </w:p>
    <w:p>
      <w:pPr>
        <w:pStyle w:val="null3"/>
        <w:jc w:val="center"/>
        <w:outlineLvl w:val="2"/>
      </w:pPr>
      <w:r>
        <w:rPr>
          <w:rFonts w:ascii="仿宋_GB2312" w:hAnsi="仿宋_GB2312" w:cs="仿宋_GB2312" w:eastAsia="仿宋_GB2312"/>
          <w:sz w:val="28"/>
          <w:b/>
        </w:rPr>
        <w:t>中共汉中市委宣传部</w:t>
      </w:r>
    </w:p>
    <w:p>
      <w:pPr>
        <w:pStyle w:val="null3"/>
        <w:jc w:val="center"/>
        <w:outlineLvl w:val="2"/>
      </w:pPr>
      <w:r>
        <w:rPr>
          <w:rFonts w:ascii="仿宋_GB2312" w:hAnsi="仿宋_GB2312" w:cs="仿宋_GB2312" w:eastAsia="仿宋_GB2312"/>
          <w:sz w:val="28"/>
          <w:b/>
        </w:rPr>
        <w:t>陕西银正项目管理有限公司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陕西银正项目管理有限公司</w:t>
      </w:r>
      <w:r>
        <w:rPr>
          <w:rFonts w:ascii="仿宋_GB2312" w:hAnsi="仿宋_GB2312" w:cs="仿宋_GB2312" w:eastAsia="仿宋_GB2312"/>
        </w:rPr>
        <w:t>（以下简称“代理机构”）受</w:t>
      </w:r>
      <w:r>
        <w:rPr>
          <w:rFonts w:ascii="仿宋_GB2312" w:hAnsi="仿宋_GB2312" w:cs="仿宋_GB2312" w:eastAsia="仿宋_GB2312"/>
        </w:rPr>
        <w:t>中共汉中市委宣传部</w:t>
      </w:r>
      <w:r>
        <w:rPr>
          <w:rFonts w:ascii="仿宋_GB2312" w:hAnsi="仿宋_GB2312" w:cs="仿宋_GB2312" w:eastAsia="仿宋_GB2312"/>
        </w:rPr>
        <w:t>委托，拟对</w:t>
      </w:r>
      <w:r>
        <w:rPr>
          <w:rFonts w:ascii="仿宋_GB2312" w:hAnsi="仿宋_GB2312" w:cs="仿宋_GB2312" w:eastAsia="仿宋_GB2312"/>
        </w:rPr>
        <w:t>2026年度城市文明建设综合服务项目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YZZB-20260107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2026年度城市文明建设综合服务项目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为汉中市城市⽂明建设常态化业务指导服务，主要围绕城市⽂明建设各项任务，通过线下常态化业务指导、综合业务培训等⽅式，精准发现我市城市⽂明建设⼯作存在问题，明确下⼀步⼯作重点，提⾼各级创建⼈员业务⽔平，切实落实好创建为⺠、创建惠⺠根本遵循，确保我市精神⽂明建设⼯作⾼标准推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采购包1（2026年度城市文明建设综合服务项目）：属于专门面向中小企业采购。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1、信⽤查询截图：供应商未被列⼊信⽤中国⽹站(www.creditchina.gov.cn)“重⼤税收违法失信主体”；未被列⼊中国 执⾏信息公开⽹(https://zxgk.court.gov.cn)“失信被执⾏⼈”；不处于中国政府采购⽹(www.ccgp. gov.cn)“政府采购严重违法失信⾏为信息记录”中的禁⽌参加政府采购活动期间。</w:t>
      </w:r>
    </w:p>
    <w:p>
      <w:pPr>
        <w:pStyle w:val="null3"/>
      </w:pPr>
      <w:r>
        <w:rPr>
          <w:rFonts w:ascii="仿宋_GB2312" w:hAnsi="仿宋_GB2312" w:cs="仿宋_GB2312" w:eastAsia="仿宋_GB2312"/>
        </w:rPr>
        <w:t>2、法定代表⼈证明书或授权委托书：提供法定代表⼈授权书（附法定代表⼈、被授权⼈⾝份证复印件），法定代表⼈直接参加投标的，须提供法定代表⼈⾝份证明及⾝份证复印件。</w:t>
      </w:r>
    </w:p>
    <w:p>
      <w:pPr>
        <w:pStyle w:val="null3"/>
      </w:pPr>
      <w:r>
        <w:rPr>
          <w:rFonts w:ascii="仿宋_GB2312" w:hAnsi="仿宋_GB2312" w:cs="仿宋_GB2312" w:eastAsia="仿宋_GB2312"/>
        </w:rPr>
        <w:t>3、非联合体投标：本项⽬不接受联合体投标，提供⾮联合体投标声明。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中共汉中市委宣传部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汉中市汉台区民主街44号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楚新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13892633981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陕西银正项目管理有限公司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陕西省西安市雁塔区曲江新区雁南五路1868号曲江影视大厦1203-3号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康耀丹、翟苗苗、师兰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18392446490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代理服务费参照《国家计委关于印发&lt;招标代理服务收费管理暂行办法&gt;的通知》(计价格〔2002〕1980号)、《国家发展和改革委员会办公厅关于招标代理服务收费有关问题的通知》（发改办价格〔2003〕857号）以及《国家发展改革委关于降低部分建设项目收费标准规范收费行为等有关问题的通知》(发改价格〔2011〕534号)文件标准计取。 户名：陕西银正项目管理有限公司；开户行：中国工商银行股份有限公司西安凤城七路支行；账号：3700085109100068236。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中共汉中市委宣传部</w:t>
      </w:r>
      <w:r>
        <w:rPr>
          <w:rFonts w:ascii="仿宋_GB2312" w:hAnsi="仿宋_GB2312" w:cs="仿宋_GB2312" w:eastAsia="仿宋_GB2312"/>
        </w:rPr>
        <w:t>和</w:t>
      </w:r>
      <w:r>
        <w:rPr>
          <w:rFonts w:ascii="仿宋_GB2312" w:hAnsi="仿宋_GB2312" w:cs="仿宋_GB2312" w:eastAsia="仿宋_GB2312"/>
        </w:rPr>
        <w:t>陕西银正项目管理有限公司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中共汉中市委宣传部</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陕西银正项目管理有限公司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中共汉中市委宣传部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陕西银正项目管理有限公司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提出侵权其专利权、商标权或其它知识产权⽽引发法律和经济纠纷，否则由供应商负责解决并承担全部责任；如因此影响到采购⼈的正常使⽤，采购⼈有权单⽅⾯解除本合同，供应商应⽆条件向采购⼈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按国家有关规定以及招标⽂件的要求、供应商的投标⽂件及承诺与本项⽬合同约定标准进⾏验收。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联系人：康耀丹、翟苗苗、师兰</w:t>
      </w:r>
    </w:p>
    <w:p>
      <w:pPr>
        <w:pStyle w:val="null3"/>
      </w:pPr>
      <w:r>
        <w:rPr>
          <w:rFonts w:ascii="仿宋_GB2312" w:hAnsi="仿宋_GB2312" w:cs="仿宋_GB2312" w:eastAsia="仿宋_GB2312"/>
        </w:rPr>
        <w:t>联系电话：18392446490</w:t>
      </w:r>
    </w:p>
    <w:p>
      <w:pPr>
        <w:pStyle w:val="null3"/>
      </w:pPr>
      <w:r>
        <w:rPr>
          <w:rFonts w:ascii="仿宋_GB2312" w:hAnsi="仿宋_GB2312" w:cs="仿宋_GB2312" w:eastAsia="仿宋_GB2312"/>
        </w:rPr>
        <w:t>地址：陕西省西安市雁塔区曲江新区雁南五路1868号曲江影视大厦1203-3号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汉中市城市文明建设常态化业务指导服务，主要围绕城市文明建设各项任务，通过线下常态化业务指导、综合业务培训等方式，精准发现我市城市文明建设工作存在问题，明确下一步工作重点，提高各级创建人员业务水平，切实落实好创建为民、创建惠民根本遵循，确保我市精神文明建设工作高标准推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2026年度城市文明建设综合服务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项目</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标的名称：2026年度城市文明建设综合服务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一、服务内容</w:t>
            </w:r>
          </w:p>
          <w:p>
            <w:pPr>
              <w:pStyle w:val="null3"/>
              <w:ind w:firstLine="560"/>
              <w:jc w:val="both"/>
            </w:pPr>
            <w:r>
              <w:rPr>
                <w:rFonts w:ascii="仿宋_GB2312" w:hAnsi="仿宋_GB2312" w:cs="仿宋_GB2312" w:eastAsia="仿宋_GB2312"/>
                <w:sz w:val="21"/>
              </w:rPr>
              <w:t>一是计划聘请专业公司，对我市开展6个月的城市文明建设常态化业务指导服务，以“第三方”的视角，综合把关我市城市文明建设工作，进一步认清形势、摸清底数、掌握标准，确保各项工作机制有效推进；二是开展一次综合业务培训，以培训会、现场会等多种形式，系统解读全国文明城市创建工作的标准，深入讲解全国文明城市实地考察评估要点。主要内容包含：</w:t>
            </w:r>
          </w:p>
          <w:p>
            <w:pPr>
              <w:pStyle w:val="null3"/>
              <w:ind w:firstLine="560"/>
              <w:jc w:val="both"/>
            </w:pPr>
            <w:r>
              <w:rPr>
                <w:rFonts w:ascii="仿宋_GB2312" w:hAnsi="仿宋_GB2312" w:cs="仿宋_GB2312" w:eastAsia="仿宋_GB2312"/>
                <w:sz w:val="21"/>
              </w:rPr>
              <w:t>1.常态化业务指导</w:t>
            </w:r>
          </w:p>
          <w:p>
            <w:pPr>
              <w:pStyle w:val="null3"/>
              <w:ind w:firstLine="560"/>
              <w:jc w:val="both"/>
            </w:pPr>
            <w:r>
              <w:rPr>
                <w:rFonts w:ascii="仿宋_GB2312" w:hAnsi="仿宋_GB2312" w:cs="仿宋_GB2312" w:eastAsia="仿宋_GB2312"/>
                <w:sz w:val="21"/>
              </w:rPr>
              <w:t>聚焦我市城市文明建设工作，在工作机制、常态长效、创建为民等方面提出建设性意见；结合我市工作实际，条块结合，按行业、按区域、按部门，参与分门别类的现场会、调度会，做好标准把握和实地讲解，按照全国文明城市创建标准，对城市社区、主次干道（商业步行街）、主要交通路口、背街小巷、新时代文明实践中心、社区及新时代文明实践站、公共文化设施、生活小区、集贸市场、公园、早夜市、景点景区等多个行业点位进行多轮文明城市创建业务指导，做好问题分析、制定整改方案等；不定期对各类实地点位开展排查检查，将发现的问题及时反馈给甲方，并对存在的问题进行回头看；对入户问卷、资料审核相关工作拿出工作方案。</w:t>
            </w:r>
          </w:p>
          <w:p>
            <w:pPr>
              <w:pStyle w:val="null3"/>
              <w:ind w:firstLine="560"/>
              <w:jc w:val="both"/>
            </w:pPr>
            <w:r>
              <w:rPr>
                <w:rFonts w:ascii="仿宋_GB2312" w:hAnsi="仿宋_GB2312" w:cs="仿宋_GB2312" w:eastAsia="仿宋_GB2312"/>
                <w:sz w:val="21"/>
              </w:rPr>
              <w:t>2.综合业务培训</w:t>
            </w:r>
          </w:p>
          <w:p>
            <w:pPr>
              <w:pStyle w:val="null3"/>
              <w:ind w:firstLine="560"/>
              <w:jc w:val="both"/>
            </w:pPr>
            <w:r>
              <w:rPr>
                <w:rFonts w:ascii="仿宋_GB2312" w:hAnsi="仿宋_GB2312" w:cs="仿宋_GB2312" w:eastAsia="仿宋_GB2312"/>
                <w:sz w:val="21"/>
              </w:rPr>
              <w:t>对照《全国文明城市（地级以上）创建指标体系（2025年版）》与中省历次培训会要求，从文明城市创建的背景、标准、工作要点要求，对我市市直部门、各区、提名县城分别开展业务培训，确保各参创人员熟悉标准；协助编写制定各实地点位创建标准，确保不加码、不漏项。</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二、服务要求</w:t>
            </w:r>
          </w:p>
          <w:p>
            <w:pPr>
              <w:pStyle w:val="null3"/>
              <w:ind w:firstLine="560"/>
              <w:jc w:val="both"/>
            </w:pPr>
            <w:r>
              <w:rPr>
                <w:rFonts w:ascii="仿宋_GB2312" w:hAnsi="仿宋_GB2312" w:cs="仿宋_GB2312" w:eastAsia="仿宋_GB2312"/>
                <w:sz w:val="21"/>
              </w:rPr>
              <w:t>1.人员配置要求</w:t>
            </w:r>
          </w:p>
          <w:p>
            <w:pPr>
              <w:pStyle w:val="null3"/>
              <w:ind w:firstLine="560"/>
              <w:jc w:val="both"/>
            </w:pPr>
            <w:r>
              <w:rPr>
                <w:rFonts w:ascii="仿宋_GB2312" w:hAnsi="仿宋_GB2312" w:cs="仿宋_GB2312" w:eastAsia="仿宋_GB2312"/>
                <w:sz w:val="21"/>
              </w:rPr>
              <w:t>供应商须组建专属项目服务团队，配备项目负责人1名，需常驻，统筹项目整体推进、对接采购人工作、把控服务质量；至少配置4名专职工作人员负责本项目（人员可调换，但常驻人员不少于4人），确保人员稳定、全程在岗对接，不得随意更换团队人员。团队人员需熟悉城市文明建设工作业务，有多年相关工作经验，保障项目高效有序落地。</w:t>
            </w:r>
          </w:p>
          <w:p>
            <w:pPr>
              <w:pStyle w:val="null3"/>
              <w:ind w:firstLine="560"/>
              <w:jc w:val="both"/>
            </w:pPr>
            <w:r>
              <w:rPr>
                <w:rFonts w:ascii="仿宋_GB2312" w:hAnsi="仿宋_GB2312" w:cs="仿宋_GB2312" w:eastAsia="仿宋_GB2312"/>
                <w:sz w:val="21"/>
              </w:rPr>
              <w:t>2.服务执行要求</w:t>
            </w:r>
          </w:p>
          <w:p>
            <w:pPr>
              <w:pStyle w:val="null3"/>
              <w:ind w:firstLine="560"/>
              <w:jc w:val="both"/>
            </w:pPr>
            <w:r>
              <w:rPr>
                <w:rFonts w:ascii="仿宋_GB2312" w:hAnsi="仿宋_GB2312" w:cs="仿宋_GB2312" w:eastAsia="仿宋_GB2312"/>
                <w:sz w:val="21"/>
              </w:rPr>
              <w:t>严格按照采购人工作部署及时间节点推进业务指导工作，配合完成各项工作。主动接受采购人日常监督、检查与考核，及时响应采购人工作调整要求。全程遵守政务工作保密规定，严禁泄露工作资料、群众信息及未公开政策内容。</w:t>
            </w:r>
          </w:p>
          <w:p>
            <w:pPr>
              <w:pStyle w:val="null3"/>
              <w:ind w:firstLine="560"/>
              <w:jc w:val="both"/>
            </w:pPr>
            <w:r>
              <w:rPr>
                <w:rFonts w:ascii="仿宋_GB2312" w:hAnsi="仿宋_GB2312" w:cs="仿宋_GB2312" w:eastAsia="仿宋_GB2312"/>
                <w:sz w:val="21"/>
              </w:rPr>
              <w:t>3.成果交付要求</w:t>
            </w:r>
          </w:p>
          <w:p>
            <w:pPr>
              <w:pStyle w:val="null3"/>
              <w:ind w:firstLine="560"/>
              <w:jc w:val="both"/>
            </w:pPr>
            <w:r>
              <w:rPr>
                <w:rFonts w:ascii="仿宋_GB2312" w:hAnsi="仿宋_GB2312" w:cs="仿宋_GB2312" w:eastAsia="仿宋_GB2312"/>
                <w:sz w:val="21"/>
              </w:rPr>
              <w:t>项目服务期内，按需交付各类培训课件、工作方案、工作小结；服务期满后，完整交付全部问题汇总、各类工作方案、工作总结等全套资料，确保资料完整、规范、可追溯、可归档。</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三、商务要求</w:t>
            </w:r>
          </w:p>
          <w:p>
            <w:pPr>
              <w:pStyle w:val="null3"/>
              <w:ind w:firstLine="560"/>
              <w:jc w:val="both"/>
            </w:pPr>
            <w:r>
              <w:rPr>
                <w:rFonts w:ascii="仿宋_GB2312" w:hAnsi="仿宋_GB2312" w:cs="仿宋_GB2312" w:eastAsia="仿宋_GB2312"/>
                <w:sz w:val="21"/>
              </w:rPr>
              <w:t>1.服务期限</w:t>
            </w:r>
          </w:p>
          <w:p>
            <w:pPr>
              <w:pStyle w:val="null3"/>
              <w:ind w:firstLine="560"/>
              <w:jc w:val="both"/>
            </w:pPr>
            <w:r>
              <w:rPr>
                <w:rFonts w:ascii="仿宋_GB2312" w:hAnsi="仿宋_GB2312" w:cs="仿宋_GB2312" w:eastAsia="仿宋_GB2312"/>
                <w:sz w:val="21"/>
              </w:rPr>
              <w:t>自合同签订之日起至2026年12月31日。</w:t>
            </w:r>
          </w:p>
          <w:p>
            <w:pPr>
              <w:pStyle w:val="null3"/>
              <w:ind w:firstLine="560"/>
              <w:jc w:val="both"/>
            </w:pPr>
            <w:r>
              <w:rPr>
                <w:rFonts w:ascii="仿宋_GB2312" w:hAnsi="仿宋_GB2312" w:cs="仿宋_GB2312" w:eastAsia="仿宋_GB2312"/>
                <w:sz w:val="21"/>
              </w:rPr>
              <w:t>2.服务地点</w:t>
            </w:r>
          </w:p>
          <w:p>
            <w:pPr>
              <w:pStyle w:val="null3"/>
              <w:ind w:firstLine="560"/>
              <w:jc w:val="both"/>
            </w:pPr>
            <w:r>
              <w:rPr>
                <w:rFonts w:ascii="仿宋_GB2312" w:hAnsi="仿宋_GB2312" w:cs="仿宋_GB2312" w:eastAsia="仿宋_GB2312"/>
                <w:sz w:val="21"/>
              </w:rPr>
              <w:t>采购人指定地点。</w:t>
            </w:r>
          </w:p>
          <w:p>
            <w:pPr>
              <w:pStyle w:val="null3"/>
              <w:ind w:firstLine="560"/>
              <w:jc w:val="both"/>
            </w:pPr>
            <w:r>
              <w:rPr>
                <w:rFonts w:ascii="仿宋_GB2312" w:hAnsi="仿宋_GB2312" w:cs="仿宋_GB2312" w:eastAsia="仿宋_GB2312"/>
                <w:sz w:val="21"/>
              </w:rPr>
              <w:t>3.验收标准</w:t>
            </w:r>
          </w:p>
          <w:p>
            <w:pPr>
              <w:pStyle w:val="null3"/>
              <w:ind w:firstLine="560"/>
              <w:jc w:val="both"/>
            </w:pPr>
            <w:r>
              <w:rPr>
                <w:rFonts w:ascii="仿宋_GB2312" w:hAnsi="仿宋_GB2312" w:cs="仿宋_GB2312" w:eastAsia="仿宋_GB2312"/>
                <w:sz w:val="21"/>
              </w:rPr>
              <w:t>严格按照本采购需求、双方合同约定及政府采购相关规范开展验收。供应商完成全部工作内容后，经采购人审核无异议后，予以验收合格。</w:t>
            </w:r>
          </w:p>
          <w:p>
            <w:pPr>
              <w:pStyle w:val="null3"/>
              <w:ind w:firstLine="560"/>
              <w:jc w:val="both"/>
            </w:pPr>
            <w:r>
              <w:rPr>
                <w:rFonts w:ascii="仿宋_GB2312" w:hAnsi="仿宋_GB2312" w:cs="仿宋_GB2312" w:eastAsia="仿宋_GB2312"/>
                <w:sz w:val="21"/>
              </w:rPr>
              <w:t>4.付款方式</w:t>
            </w:r>
          </w:p>
          <w:p>
            <w:pPr>
              <w:pStyle w:val="null3"/>
              <w:ind w:firstLine="560"/>
              <w:jc w:val="both"/>
            </w:pPr>
            <w:r>
              <w:rPr>
                <w:rFonts w:ascii="仿宋_GB2312" w:hAnsi="仿宋_GB2312" w:cs="仿宋_GB2312" w:eastAsia="仿宋_GB2312"/>
                <w:sz w:val="21"/>
              </w:rPr>
              <w:t>本项目为固定总价合同，服务期满、项目验收合格后，供应商提交完整结算资料，采购人审核无误后，按照财政资金支付流程分期支付。所有款项支付均不计利息。</w:t>
            </w:r>
          </w:p>
          <w:p>
            <w:pPr>
              <w:pStyle w:val="null3"/>
              <w:ind w:firstLine="560"/>
              <w:jc w:val="left"/>
            </w:pPr>
            <w:r>
              <w:rPr>
                <w:rFonts w:ascii="仿宋_GB2312" w:hAnsi="仿宋_GB2312" w:cs="仿宋_GB2312" w:eastAsia="仿宋_GB2312"/>
                <w:sz w:val="21"/>
              </w:rPr>
              <w:t>5.款项结算</w:t>
            </w:r>
          </w:p>
          <w:p>
            <w:pPr>
              <w:pStyle w:val="null3"/>
              <w:ind w:firstLine="560"/>
              <w:jc w:val="left"/>
            </w:pPr>
            <w:r>
              <w:rPr>
                <w:rFonts w:ascii="仿宋_GB2312" w:hAnsi="仿宋_GB2312" w:cs="仿宋_GB2312" w:eastAsia="仿宋_GB2312"/>
                <w:sz w:val="21"/>
              </w:rPr>
              <w:t>（1）合同签订后，达到付款条件起5日内，支付合同总金额的70%；</w:t>
            </w:r>
          </w:p>
          <w:p>
            <w:pPr>
              <w:pStyle w:val="null3"/>
              <w:ind w:firstLine="560"/>
              <w:jc w:val="left"/>
            </w:pPr>
            <w:r>
              <w:rPr>
                <w:rFonts w:ascii="仿宋_GB2312" w:hAnsi="仿宋_GB2312" w:cs="仿宋_GB2312" w:eastAsia="仿宋_GB2312"/>
                <w:sz w:val="21"/>
              </w:rPr>
              <w:t>（2）完成服务内容，达到付款条件起5日内，支付合同总金额的30%。</w:t>
            </w:r>
          </w:p>
          <w:p>
            <w:pPr>
              <w:pStyle w:val="null3"/>
              <w:ind w:firstLine="560"/>
              <w:jc w:val="both"/>
            </w:pPr>
            <w:r>
              <w:rPr>
                <w:rFonts w:ascii="仿宋_GB2312" w:hAnsi="仿宋_GB2312" w:cs="仿宋_GB2312" w:eastAsia="仿宋_GB2312"/>
                <w:sz w:val="21"/>
              </w:rPr>
              <w:t>6.考核与履约要求</w:t>
            </w:r>
          </w:p>
          <w:p>
            <w:pPr>
              <w:pStyle w:val="null3"/>
              <w:ind w:firstLine="560"/>
              <w:jc w:val="both"/>
            </w:pPr>
            <w:r>
              <w:rPr>
                <w:rFonts w:ascii="仿宋_GB2312" w:hAnsi="仿宋_GB2312" w:cs="仿宋_GB2312" w:eastAsia="仿宋_GB2312"/>
                <w:sz w:val="21"/>
              </w:rPr>
              <w:t>服务期间，采购人对供应商服务质量、工作进度、响应效率、工作成效进行常态化考核，若供应商未按要求履约、服务质量不达标、工作效果不佳等等问题，采购人有权要求限期整改，整改不到位的，有权依据合同约定追究违约责任。</w:t>
            </w:r>
          </w:p>
          <w:p>
            <w:pPr>
              <w:pStyle w:val="null3"/>
              <w:ind w:firstLine="560"/>
              <w:jc w:val="both"/>
            </w:pPr>
            <w:r>
              <w:rPr>
                <w:rFonts w:ascii="仿宋_GB2312" w:hAnsi="仿宋_GB2312" w:cs="仿宋_GB2312" w:eastAsia="仿宋_GB2312"/>
                <w:sz w:val="21"/>
              </w:rPr>
              <w:t>7.其他要求</w:t>
            </w:r>
          </w:p>
          <w:p>
            <w:pPr>
              <w:pStyle w:val="null3"/>
              <w:ind w:firstLine="560"/>
              <w:jc w:val="both"/>
            </w:pPr>
            <w:r>
              <w:rPr>
                <w:rFonts w:ascii="仿宋_GB2312" w:hAnsi="仿宋_GB2312" w:cs="仿宋_GB2312" w:eastAsia="仿宋_GB2312"/>
                <w:sz w:val="21"/>
              </w:rPr>
              <w:t>本项目报价为全包价，采购人无需额外支付任何费用。服务过程中产生的一切安全责任、服务纠纷、内容合规问题均由供应商全权承担。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磋商文件要求及合同约定执行；事业单位参与投标时，可不提供财务状况报告、社会保障资金和税收缴纳证明；依法免税或不需要缴纳社会保障资金的投标人应提供相应证明文件，证明其依法免税或不需要缴纳社会保障资金；自然人（仅限中国公民）参与投标时，只须提供身份证复印件。2、本文件中"法定代表人"系指：(1)企业法人、事业单位法人、社会团体法人等具有独立法人资格的组织，为其营业执照或登记证书上载明的法定代表人；(2)分公司等不具备法人资格的分支机构，为其营业执照上载明的负责人；(3)个人独资企业，为其营业执照上载明的投资人；(4)合伙企业，为其营业执照上载明的执行事务合伙人（或委派代表）。3、（投标文件格式-标的清单）本项目服务范围：2026年度城市文明建设综合服务项目；服务要求：符合采购文件有关技术、商务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进度款，完成所有服务内容且经采购人验收合格，达到付款条件起5个工作日内，支付合同总金额的30.0%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1、安全责任：乙方应对其工作人员在现场工作期间的一切行为负责，如安全事故责任及因此发生的人身损害赔偿和其它费用由乙方承担。 2、保密条款:（1）成交人应严格遵守采购单位有关保密规定，不得泄漏一切机密；（2）在技术服务期间，成交人对接触到的有关采购单位商业活动、技术情报和技术资料等文件进行保密。 3.为顺利推进政府采购电子化交易平台应用工作，投标人需要在线提交所有通过电子化交易平台实施的政府采购项目的投标文件，确定成交后，成交人须在成交结果公告发布后的3个工作日内提交纸质版投标文件正本壹份、副本贰份、电子版壹份(U盘)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件：（1）供应商是企业（包括合伙企业）的，应提供其在市场监督管理部⻔注册的有效“营业执照”的复印件；（2）供应商是事业单位的，应提供其有效的“事业单位法⼈证书”复印件；（3）供应商是⾮企业专业服务机构的，应提供其有效的“执业许可证”复印件；（4）供应商是⺠办⾮企业单位的，应提供其有效的登记证书复印件；（5）供应商是个体⼯商户的，应提供其有效的“营业执照”复印件；（6）供应商是⾃然⼈的，应提供其有效的⾃然⼈⾝份证明复印件。2、提供可满⾜履⾏合同所需设备和专业技术能⼒的证明材料或承诺。3、提供响应⽂件递交截⽌时间前近一年内⾄少⼀个⽉的纳税证明或完税证明，依法免税的单位应提供相关证明材料；时间以税款所属时期为准。4、提供响应⽂件递交截⽌时间前近一年内⾄少⼀个⽉的社会保障资⾦缴存单据或社保机构开具的社会保险参保缴费情况证明，依法不需要缴纳社会保障资⾦的单位应提供相关证明材料。5、提供有效的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件截⽌之⽇前两年内任意⼀个年度经审计的财务报告，应满⾜以下要求：①供应商是企业的，财务报告是指经会计师事务所审计的上述指定年度整个会计年度财务报表（须提供会计师事务所出具的审计报告复印件）,复印件⾄少须包括报告正⽂、资产负债表、现⾦流量表、利润表、附注和会计师事务所营业执照，报告正⽂应当有会计师事务所公章和2名注册会计师的签字及盖章。②供应商适⽤《事业单位会计准则》的，财务报告是指上述指定年度整个会计年度财务报表（不要求必须是经审计的），复印件⾄少须包括资产负债表、收⼊⽀出表（或收⼊费⽤表）、财政补助收⼊⽀出表。③供应商适⽤《政府会计准则》的，财务报告是指上述指定年度整个会计年度财务报表（不要求必须是经审计的），复印件⾄少须包括资产负债表、收⼊费⽤表。④供应商适⽤《⺠间⾮营利组织会计制度》的，财务报告是指上述指定年度整个会计年度财务报表（不要求必须是经审计的），复印件⾄少须包括资产负债表、业务活动表、现⾦流量表。⑤供应商是上述四种情况以外情况的，按照其依法适⽤的会计制度、财务规则或会计准则提供财务报表复印件（不要求必须是经审计的）。（2）提供资信证明原件扫描件或复印件，应满⾜以下要求：①资信证明须为递交响应⽂件截⽌时间前近六个⽉内由供应商开户银⾏出具。②⽆论开具银⾏是否标明“复印⽆效”，供应商提供的复印件在本次投标中予以认可(即不因“复印⽆效”字样⽽认定资信证明复印件⽆效）。③银⾏出具的存款证明不能替代银⾏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信⽤查询截图</w:t>
            </w:r>
          </w:p>
        </w:tc>
        <w:tc>
          <w:tcPr>
            <w:tcW w:type="dxa" w:w="3322"/>
          </w:tcPr>
          <w:p>
            <w:pPr>
              <w:pStyle w:val="null3"/>
            </w:pPr>
            <w:r>
              <w:rPr>
                <w:rFonts w:ascii="仿宋_GB2312" w:hAnsi="仿宋_GB2312" w:cs="仿宋_GB2312" w:eastAsia="仿宋_GB2312"/>
              </w:rPr>
              <w:t>供应商未被列⼊信⽤中国⽹站(www.creditchina.gov.cn)“重⼤税收违法失信主体”；未被列⼊中国 执⾏信息公开⽹(https://zxgk.court.gov.cn)“失信被执⾏⼈”；不处于中国政府采购⽹(www.ccgp. gov.cn)“政府采购严重违法失信⾏为信息记录”中的禁⽌参加政府采购活动期间。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法定代表⼈证明书或授权委托书</w:t>
            </w:r>
          </w:p>
        </w:tc>
        <w:tc>
          <w:tcPr>
            <w:tcW w:type="dxa" w:w="3322"/>
          </w:tcPr>
          <w:p>
            <w:pPr>
              <w:pStyle w:val="null3"/>
            </w:pPr>
            <w:r>
              <w:rPr>
                <w:rFonts w:ascii="仿宋_GB2312" w:hAnsi="仿宋_GB2312" w:cs="仿宋_GB2312" w:eastAsia="仿宋_GB2312"/>
              </w:rPr>
              <w:t>提供法定代表⼈授权书（附法定代表⼈、被授权⼈⾝份证复印件），法定代表⼈直接参加投标的，须提供法定代表⼈⾝份证明及⾝份证复印件。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本项⽬不接受联合体投标，提供⾮联合体投标声明。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对项目的整体认识</w:t>
            </w:r>
          </w:p>
        </w:tc>
        <w:tc>
          <w:tcPr>
            <w:tcW w:type="dxa" w:w="2492"/>
          </w:tcPr>
          <w:p>
            <w:pPr>
              <w:pStyle w:val="null3"/>
            </w:pPr>
            <w:r>
              <w:rPr>
                <w:rFonts w:ascii="仿宋_GB2312" w:hAnsi="仿宋_GB2312" w:cs="仿宋_GB2312" w:eastAsia="仿宋_GB2312"/>
              </w:rPr>
              <w:t>根据供应商提供项⽬理解及需求分析进⾏评审，包括但不限于①项目理解；②需求响应及分析；③项目重难点分析。方案各项内容全面详细、阐述条理清晰、功能配置合理，能有效保障本项目得 3 分 , 每有一项缺项扣 1 分，每项内容有一处存在缺陷，扣 0.5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根据供应商提供的整体服务方案进行评审，内容包括但不限于①工作思路；②工作阶段划分及各阶段的工作内容；③执行的规范、标准和依据解读；④工作流程及工作办法； ⑤合理化建议。方案各项内容全面详细、阐述条理清晰、功能配置合理，能有效保障本项目得 10 分 , 每有一项缺项扣 2 分，每项内容有一处存在缺陷，扣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根据供应商提供的培训服务方案进行评审，内容包括但不限于①培训课程规划；②培训团队安排；③培训形式与时间安排；④培训效果考核与评估机制。方案各项内容全面详细、阐述条理清晰、功能配置合理，能有效保障本项目得 8 分，每有一项缺项扣 2 分，每项内容有一处存在缺陷 , 扣 1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根据供应商提供的质量保证措施进行评审，内容包括但不限于①质量保证措施；②质量管理办法及项目管理制度；③成果质量检查方案 。方案各项内容全面详细、阐述条理清晰、功能配置合理，能有效保障本项目得 6 分，每有一项缺项扣 2 分，每项内容有一处存在缺陷 , 扣 1 分，扣完为止。（缺陷是指 ：内容粗略、逻辑混乱、描述过于简单、与项目特点不匹配、凭空编造、逻辑漏洞、出现常识性错误、 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根据供应商提供的进度计划保障措施进行评审，内容包括但不限于①项目实施进度目标分析；②项目进度计划安排方案；③项目进度保障 。方案各项内容全面详细、阐述条理清晰、功能配置合理，能有效保障本项目得 6 分，每有一项缺项扣 2 分，每项内容有一处存在缺陷 , 扣 1 分，扣完为止。（缺陷是指 ：内容粗略、逻辑混乱、描述过于简单、与项目特点不匹配、凭空编造、逻辑漏洞、出现常识性错误、 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根据供应商提供的应急预案进行评审，内容包括但不限于①预防机制及协调机制；②应急方案及处置措施。方案各项内容全面详细、阐述条理清晰、功能配置合理，能有效保障本项目得 4 分，每有一项缺项扣 2 分，每项内容有一处存在缺陷 , 扣 1 分，扣完为止。（缺陷是指 ：内容粗略、逻辑混乱、描述过于简单、与项目特点不匹配、凭空编造、逻辑漏洞、出现常识性错误、存在不适用项目实际情况的情形或只有标题没有实质性内容等）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根据供应商提供的保密措施进行评审，内容包括但不限于①保密管理制度；②具体工作保密措施；③保密承诺。 方案各项内容全面详细、阐述条理清晰、功能配置合理，能有效保障本项目得 3 分，每有一项缺项扣1 分，每项内容有一处存在缺陷，扣 0.5 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拟派项目负责人具有自2023年1月1日 （以合同签订的时间为准）至今承担过类似项目业绩， 每提供1项得3分， 满分6分。（注：证明材料提供类似业绩合同复印件，合同应明确显⽰项目负责人姓名及担任角色，如合同无法清楚证明则需再附其他佐证资料，未提供或提供不全不得分。）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服务团队组织架构（除项目负责人）</w:t>
            </w:r>
          </w:p>
        </w:tc>
        <w:tc>
          <w:tcPr>
            <w:tcW w:type="dxa" w:w="2492"/>
          </w:tcPr>
          <w:p>
            <w:pPr>
              <w:pStyle w:val="null3"/>
            </w:pPr>
            <w:r>
              <w:rPr>
                <w:rFonts w:ascii="仿宋_GB2312" w:hAnsi="仿宋_GB2312" w:cs="仿宋_GB2312" w:eastAsia="仿宋_GB2312"/>
              </w:rPr>
              <w:t>1.年龄结构（4分）：拟投入人员中，40周岁以下人员比例≥40%的得4分，比例≥30%且＜40%的得2分；比例≥20%且＜30%的得1分；其余不得分。2.常驻人员（4分）：本项目拟派常驻专职人员数量4人的得基础分2分，每增加1人得1分，满分4分。 3.人员稳定性（4分）：本项目拟派常驻专职人员中，供应商为其连续缴纳社保2年及以上的，每有1人得2分，最高得4分。（注：1.提供人员名单及身份证复印件（用于核算年龄）。2.提供常驻专职人员名单及供应商为其连续缴纳2年及以上社保缴费明细证明。未提供或材料不全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售后闭环管理</w:t>
            </w:r>
          </w:p>
        </w:tc>
        <w:tc>
          <w:tcPr>
            <w:tcW w:type="dxa" w:w="2492"/>
          </w:tcPr>
          <w:p>
            <w:pPr>
              <w:pStyle w:val="null3"/>
            </w:pPr>
            <w:r>
              <w:rPr>
                <w:rFonts w:ascii="仿宋_GB2312" w:hAnsi="仿宋_GB2312" w:cs="仿宋_GB2312" w:eastAsia="仿宋_GB2312"/>
              </w:rPr>
              <w:t>承诺建⽴标准化售后服务台账，完整记录时间、问题内容、处置⼈员、整改结果、甲⽅确认记录，资料统⼀归档留存备查，提供台账模板、档案管理制度得满分4分；⽆台账扣2分，⽆归档制度扣2分。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2分）：承诺1小时内专人对接响应，提供7×12小时联络热线、项目专属工作群， 满足得满分2分；仅承诺2小时及以内响应得50%分值1分；承诺超过2小时不得分；未提供固定联络渠道扣全部分值。2.一般咨询、资料修正需求（2分）：承诺2小时内出具修改思路/回复意见得满分2分；承诺4小时及以内得50%分值1分，超出4小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1.服务质量目标承诺（2分） ：投标人提供针对本项目的服务质量管控标准、质量目标、质量验收、整改保障等专项承诺， 承诺完整并加盖公章得2分， 未提供或不完整不得分。 2.服务进度目标承诺（2分） ：投标人提供针对本项目的服务服务期限节点、进度管控、进度保障、逾期补救措施等专项承诺， 承诺完整并加盖公章得2分， 未提供或不完整不得分。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提供2023年1月1日至今承担的类似业绩。每提供1项得3分，满分15分。 （注：1.业绩证明文件以合同复印件为准，时间以合同签订时间为准 , 未提供或不清晰导致无法识别的不予认可。）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1.满足磋商文件实质性要求且投标价格最低的投标报价为评标基准价 , 其价格分为满分15分。2.报价得分=（评标基准价/投标报价）×15 的公式计算得分。 3.投标报价不完整的，不进入评标标准价的计算，本项得0分。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