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54EAD6">
      <w:pPr>
        <w:pStyle w:val="5"/>
        <w:spacing w:line="560" w:lineRule="exact"/>
        <w:ind w:left="0" w:leftChars="0" w:firstLine="640" w:firstLineChars="0"/>
        <w:jc w:val="both"/>
        <w:outlineLvl w:val="1"/>
        <w:rPr>
          <w:rFonts w:hint="eastAsia" w:ascii="宋体" w:hAnsi="宋体" w:eastAsia="宋体" w:cs="宋体"/>
          <w:b/>
          <w:sz w:val="28"/>
          <w:szCs w:val="28"/>
        </w:rPr>
      </w:pPr>
      <w:bookmarkStart w:id="0" w:name="_Toc26211"/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一、</w:t>
      </w:r>
      <w:r>
        <w:rPr>
          <w:rFonts w:hint="eastAsia" w:ascii="宋体" w:hAnsi="宋体" w:eastAsia="宋体" w:cs="宋体"/>
          <w:b/>
          <w:sz w:val="28"/>
          <w:szCs w:val="28"/>
        </w:rPr>
        <w:t>项目概要</w:t>
      </w:r>
      <w:bookmarkEnd w:id="0"/>
    </w:p>
    <w:p w14:paraId="2C7662B6">
      <w:pPr>
        <w:spacing w:line="560" w:lineRule="exact"/>
        <w:ind w:firstLine="560" w:firstLineChars="200"/>
        <w:jc w:val="both"/>
        <w:rPr>
          <w:rFonts w:hint="eastAsia" w:ascii="宋体" w:hAnsi="宋体" w:eastAsia="宋体" w:cs="宋体"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</w:rPr>
        <w:t>1.项目名称：延安市宝塔区202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年度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省级财政林业草原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改革发展资金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林业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有害生物防治项目。</w:t>
      </w:r>
    </w:p>
    <w:p w14:paraId="5132367D">
      <w:pPr>
        <w:snapToGrid w:val="0"/>
        <w:spacing w:line="560" w:lineRule="exact"/>
        <w:ind w:firstLine="560" w:firstLineChars="200"/>
        <w:jc w:val="both"/>
        <w:outlineLvl w:val="9"/>
        <w:rPr>
          <w:rFonts w:hint="eastAsia" w:ascii="宋体" w:hAnsi="宋体" w:eastAsia="宋体" w:cs="宋体"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.项目实施地点：宝塔区枣园街道办、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新城街道、肤施街道、河庄坪镇、万花山镇、柳林镇、川口镇、李渠镇、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姚店镇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甘谷驿镇、冯庄乡、青化砭镇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。</w:t>
      </w:r>
    </w:p>
    <w:p w14:paraId="7EAC5DBA">
      <w:pPr>
        <w:snapToGrid w:val="0"/>
        <w:spacing w:line="560" w:lineRule="exact"/>
        <w:ind w:firstLine="560" w:firstLineChars="200"/>
        <w:jc w:val="both"/>
        <w:outlineLvl w:val="9"/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.项目主要建设内容及规模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 xml:space="preserve">1.5万亩，其中：侧柏叶枯病防治0.3万亩，鼠兔害防治0.2万亩，光肩星天牛等常发性林业有害生物监测1万亩。  </w:t>
      </w:r>
    </w:p>
    <w:p w14:paraId="4AD6C07F">
      <w:pPr>
        <w:pStyle w:val="5"/>
        <w:spacing w:line="560" w:lineRule="exact"/>
        <w:ind w:left="0" w:leftChars="0" w:firstLine="640" w:firstLineChars="0"/>
        <w:jc w:val="both"/>
        <w:outlineLvl w:val="1"/>
        <w:rPr>
          <w:rFonts w:hint="eastAsia" w:ascii="宋体" w:hAnsi="宋体" w:eastAsia="宋体" w:cs="宋体"/>
          <w:b/>
          <w:sz w:val="28"/>
          <w:szCs w:val="28"/>
        </w:rPr>
      </w:pPr>
      <w:bookmarkStart w:id="1" w:name="_Toc27017"/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二、防治</w:t>
      </w:r>
      <w:r>
        <w:rPr>
          <w:rFonts w:hint="eastAsia" w:ascii="宋体" w:hAnsi="宋体" w:eastAsia="宋体" w:cs="宋体"/>
          <w:b/>
          <w:sz w:val="28"/>
          <w:szCs w:val="28"/>
        </w:rPr>
        <w:t>任务</w:t>
      </w:r>
      <w:bookmarkEnd w:id="1"/>
    </w:p>
    <w:p w14:paraId="384EB047">
      <w:pPr>
        <w:spacing w:line="560" w:lineRule="exact"/>
        <w:ind w:firstLine="562" w:firstLineChars="200"/>
        <w:jc w:val="both"/>
        <w:outlineLvl w:val="2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2" w:name="_Toc24446"/>
      <w:r>
        <w:rPr>
          <w:rFonts w:hint="eastAsia" w:ascii="宋体" w:hAnsi="宋体" w:eastAsia="宋体" w:cs="宋体"/>
          <w:b/>
          <w:bCs/>
          <w:sz w:val="28"/>
          <w:szCs w:val="28"/>
        </w:rPr>
        <w:t>1.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防治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地点</w:t>
      </w:r>
      <w:bookmarkEnd w:id="2"/>
    </w:p>
    <w:p w14:paraId="55E16B36">
      <w:pPr>
        <w:snapToGrid w:val="0"/>
        <w:spacing w:line="560" w:lineRule="exact"/>
        <w:ind w:firstLine="560" w:firstLineChars="200"/>
        <w:jc w:val="both"/>
        <w:outlineLvl w:val="9"/>
        <w:rPr>
          <w:rFonts w:hint="eastAsia" w:ascii="宋体" w:hAnsi="宋体" w:eastAsia="宋体" w:cs="宋体"/>
          <w:bCs/>
          <w:kern w:val="0"/>
          <w:sz w:val="28"/>
          <w:szCs w:val="28"/>
          <w:u w:val="single"/>
          <w:lang w:eastAsia="zh-CN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侧柏叶枯病防治位于万花山国有生态林场；鼠害防治和兔害防治分别位于姚店镇蒲屯村、桃屯村、元龙寺村等。光肩星天牛等常发性林业有害生物监测点位于枣园街道办、新城街道、肤施街道、河庄坪镇、万花山镇、柳林镇、李渠镇、姚店镇、甘谷驿镇、川口镇等乡镇主要公路沿线迎川面林地。</w:t>
      </w:r>
    </w:p>
    <w:p w14:paraId="72EE0627">
      <w:pPr>
        <w:spacing w:line="560" w:lineRule="exact"/>
        <w:ind w:firstLine="562" w:firstLineChars="200"/>
        <w:jc w:val="both"/>
        <w:outlineLvl w:val="2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3" w:name="_Toc21094"/>
      <w:r>
        <w:rPr>
          <w:rFonts w:hint="eastAsia" w:ascii="宋体" w:hAnsi="宋体" w:eastAsia="宋体" w:cs="宋体"/>
          <w:b/>
          <w:bCs/>
          <w:sz w:val="28"/>
          <w:szCs w:val="28"/>
        </w:rPr>
        <w:t>2.内容及规模</w:t>
      </w:r>
      <w:bookmarkEnd w:id="3"/>
    </w:p>
    <w:p w14:paraId="55EE18FC">
      <w:pPr>
        <w:snapToGrid w:val="0"/>
        <w:spacing w:line="560" w:lineRule="exact"/>
        <w:ind w:firstLine="560" w:firstLineChars="200"/>
        <w:jc w:val="both"/>
        <w:outlineLvl w:val="9"/>
        <w:rPr>
          <w:rFonts w:hint="eastAsia" w:ascii="宋体" w:hAnsi="宋体" w:eastAsia="宋体" w:cs="宋体"/>
          <w:bCs/>
          <w:kern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防治内容为防治林业有害生物面积1.5万亩，其中，侧柏叶枯病防治0.3万亩，鼠兔害防治0.2万亩（鼠害0.1万亩、兔害0.1万亩），光肩星天牛等常发性林业有害生物监测1万亩。</w:t>
      </w:r>
    </w:p>
    <w:p w14:paraId="0417354C">
      <w:pPr>
        <w:numPr>
          <w:ilvl w:val="0"/>
          <w:numId w:val="0"/>
        </w:numPr>
        <w:spacing w:line="620" w:lineRule="exact"/>
        <w:ind w:left="0" w:leftChars="0" w:firstLine="562" w:firstLineChars="200"/>
        <w:outlineLvl w:val="3"/>
        <w:rPr>
          <w:rFonts w:hint="eastAsia" w:ascii="宋体" w:hAnsi="宋体" w:eastAsia="宋体" w:cs="宋体"/>
          <w:b/>
          <w:bCs w:val="0"/>
          <w:w w:val="100"/>
          <w:kern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w w:val="100"/>
          <w:kern w:val="0"/>
          <w:sz w:val="28"/>
          <w:szCs w:val="28"/>
          <w:u w:val="none"/>
          <w:lang w:val="en-US" w:eastAsia="zh-CN"/>
        </w:rPr>
        <w:t>（1）侧柏叶枯病防治技术</w:t>
      </w:r>
    </w:p>
    <w:p w14:paraId="28701CD1">
      <w:pPr>
        <w:spacing w:line="56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防治对象：侧柏叶枯病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7D460E94">
      <w:pPr>
        <w:pStyle w:val="2"/>
        <w:spacing w:line="560" w:lineRule="exact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防治面积：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3000</w:t>
      </w:r>
      <w:r>
        <w:rPr>
          <w:rFonts w:hint="eastAsia" w:ascii="宋体" w:hAnsi="宋体" w:eastAsia="宋体" w:cs="宋体"/>
          <w:sz w:val="28"/>
          <w:szCs w:val="28"/>
        </w:rPr>
        <w:t>亩。</w:t>
      </w:r>
    </w:p>
    <w:p w14:paraId="683D0E48">
      <w:pPr>
        <w:pStyle w:val="2"/>
        <w:spacing w:line="560" w:lineRule="exact"/>
        <w:ind w:firstLine="64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</w:rPr>
        <w:t>防治地点：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万花山国有生态林场3000亩</w:t>
      </w:r>
      <w:r>
        <w:rPr>
          <w:rFonts w:hint="eastAsia" w:ascii="宋体" w:hAnsi="宋体" w:eastAsia="宋体" w:cs="宋体"/>
          <w:sz w:val="28"/>
          <w:szCs w:val="28"/>
          <w:u w:val="none"/>
        </w:rPr>
        <w:t>。</w:t>
      </w:r>
    </w:p>
    <w:p w14:paraId="10B756E1">
      <w:pPr>
        <w:spacing w:line="560" w:lineRule="exact"/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适用对象：侧柏林地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352340F8">
      <w:pPr>
        <w:spacing w:line="560" w:lineRule="exact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防治技术：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= 1 \* GB3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枝叶枯死大于60%的侧柏进行清理；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= 2 \* GB3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t>②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枝叶枯死小于60%的侧柏进行喷施药剂，</w:t>
      </w: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= 3 \* GB3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t>③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人工抚育，剪除病枝，提高通风透光性。</w:t>
      </w:r>
    </w:p>
    <w:p w14:paraId="26A93FD2">
      <w:pPr>
        <w:numPr>
          <w:ilvl w:val="0"/>
          <w:numId w:val="0"/>
        </w:numPr>
        <w:spacing w:line="620" w:lineRule="exact"/>
        <w:ind w:left="0" w:leftChars="0" w:firstLine="562" w:firstLineChars="200"/>
        <w:outlineLvl w:val="3"/>
        <w:rPr>
          <w:rFonts w:hint="eastAsia" w:ascii="宋体" w:hAnsi="宋体" w:eastAsia="宋体" w:cs="宋体"/>
          <w:b/>
          <w:bCs w:val="0"/>
          <w:w w:val="100"/>
          <w:kern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w w:val="100"/>
          <w:kern w:val="0"/>
          <w:sz w:val="28"/>
          <w:szCs w:val="28"/>
          <w:u w:val="none"/>
          <w:lang w:val="en-US" w:eastAsia="zh-CN"/>
        </w:rPr>
        <w:t>（2）鼠兔害防治技术</w:t>
      </w:r>
    </w:p>
    <w:p w14:paraId="45685792">
      <w:pPr>
        <w:spacing w:line="560" w:lineRule="exact"/>
        <w:ind w:firstLine="560" w:firstLineChars="200"/>
        <w:outlineLvl w:val="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= 1 \* GB3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t>①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防治对象：草兔。</w:t>
      </w:r>
    </w:p>
    <w:p w14:paraId="22BA3FD0">
      <w:pPr>
        <w:pStyle w:val="2"/>
        <w:spacing w:line="560" w:lineRule="exact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防治面积：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1000</w:t>
      </w:r>
      <w:r>
        <w:rPr>
          <w:rFonts w:hint="eastAsia" w:ascii="宋体" w:hAnsi="宋体" w:eastAsia="宋体" w:cs="宋体"/>
          <w:sz w:val="28"/>
          <w:szCs w:val="28"/>
        </w:rPr>
        <w:t>亩。</w:t>
      </w:r>
    </w:p>
    <w:p w14:paraId="3C43A3C6">
      <w:pPr>
        <w:pStyle w:val="2"/>
        <w:spacing w:line="560" w:lineRule="exact"/>
        <w:ind w:firstLine="64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防治地点：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姚店镇元龙寺村、桃屯村、蒲屯村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6AC86018">
      <w:pPr>
        <w:spacing w:line="560" w:lineRule="exact"/>
        <w:ind w:firstLine="560" w:firstLineChars="200"/>
        <w:outlineLvl w:val="4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= 2 \* GB3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 w:val="28"/>
          <w:szCs w:val="28"/>
        </w:rPr>
        <w:t>②</w:t>
      </w:r>
      <w:r>
        <w:rPr>
          <w:rFonts w:hint="eastAsia" w:ascii="宋体" w:hAnsi="宋体" w:eastAsia="宋体" w:cs="宋体"/>
          <w:sz w:val="28"/>
          <w:szCs w:val="28"/>
        </w:rPr>
        <w:fldChar w:fldCharType="end"/>
      </w:r>
      <w:r>
        <w:rPr>
          <w:rFonts w:hint="eastAsia" w:ascii="宋体" w:hAnsi="宋体" w:eastAsia="宋体" w:cs="宋体"/>
          <w:sz w:val="28"/>
          <w:szCs w:val="28"/>
        </w:rPr>
        <w:t>防治对象：鼢鼠。</w:t>
      </w:r>
    </w:p>
    <w:p w14:paraId="4EB527AF">
      <w:pPr>
        <w:pStyle w:val="2"/>
        <w:spacing w:line="560" w:lineRule="exact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防治面积：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000亩。</w:t>
      </w:r>
    </w:p>
    <w:p w14:paraId="007CB099">
      <w:pPr>
        <w:pStyle w:val="2"/>
        <w:spacing w:line="560" w:lineRule="exact"/>
        <w:ind w:firstLine="64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防治地点：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姚店镇元龙寺村、桃屯村、蒲屯村</w:t>
      </w:r>
      <w:r>
        <w:rPr>
          <w:rFonts w:hint="eastAsia" w:ascii="宋体" w:hAnsi="宋体" w:eastAsia="宋体" w:cs="宋体"/>
          <w:sz w:val="28"/>
          <w:szCs w:val="28"/>
          <w:u w:val="none"/>
        </w:rPr>
        <w:t>。</w:t>
      </w:r>
    </w:p>
    <w:p w14:paraId="332375DC">
      <w:pPr>
        <w:numPr>
          <w:ilvl w:val="0"/>
          <w:numId w:val="0"/>
        </w:numPr>
        <w:spacing w:line="620" w:lineRule="exact"/>
        <w:ind w:left="0" w:leftChars="0" w:firstLine="562" w:firstLineChars="200"/>
        <w:outlineLvl w:val="3"/>
        <w:rPr>
          <w:rFonts w:hint="eastAsia" w:ascii="宋体" w:hAnsi="宋体" w:eastAsia="宋体" w:cs="宋体"/>
          <w:b/>
          <w:bCs w:val="0"/>
          <w:w w:val="100"/>
          <w:kern w:val="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w w:val="100"/>
          <w:kern w:val="0"/>
          <w:sz w:val="28"/>
          <w:szCs w:val="28"/>
          <w:u w:val="none"/>
          <w:lang w:val="en-US" w:eastAsia="zh-CN"/>
        </w:rPr>
        <w:t>（3）常发性林业有害生物监测</w:t>
      </w:r>
    </w:p>
    <w:p w14:paraId="400575F3">
      <w:pPr>
        <w:snapToGrid w:val="0"/>
        <w:spacing w:line="560" w:lineRule="exact"/>
        <w:ind w:firstLine="560" w:firstLineChars="200"/>
        <w:jc w:val="both"/>
        <w:outlineLvl w:val="9"/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监测设备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：诱捕器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性引诱剂）</w:t>
      </w:r>
    </w:p>
    <w:p w14:paraId="52CBBAEB">
      <w:pPr>
        <w:snapToGrid w:val="0"/>
        <w:spacing w:line="560" w:lineRule="exact"/>
        <w:ind w:firstLine="560" w:firstLineChars="200"/>
        <w:jc w:val="both"/>
        <w:outlineLvl w:val="9"/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监测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对象：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光肩星天牛等常发性林业有害生物。对高速路、国道沿线两侧的林地和周边林地布设光肩星天牛诱捕器进行监测，设立病虫害测报点，加强本土病虫害日常监测，及时发布病虫害信息，指定防治方案，指导科学防治。</w:t>
      </w:r>
    </w:p>
    <w:p w14:paraId="509DD132">
      <w:pPr>
        <w:snapToGrid w:val="0"/>
        <w:spacing w:line="560" w:lineRule="exact"/>
        <w:ind w:firstLine="560" w:firstLineChars="200"/>
        <w:jc w:val="both"/>
        <w:outlineLvl w:val="9"/>
        <w:rPr>
          <w:rFonts w:hint="eastAsia" w:ascii="宋体" w:hAnsi="宋体" w:eastAsia="宋体" w:cs="宋体"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监测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面积：</w:t>
      </w:r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1万亩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。</w:t>
      </w:r>
    </w:p>
    <w:p w14:paraId="348F7FB8">
      <w:r>
        <w:rPr>
          <w:rFonts w:hint="eastAsia" w:ascii="宋体" w:hAnsi="宋体" w:eastAsia="宋体" w:cs="宋体"/>
          <w:bCs/>
          <w:kern w:val="0"/>
          <w:sz w:val="28"/>
          <w:szCs w:val="28"/>
          <w:lang w:val="en-US" w:eastAsia="zh-CN"/>
        </w:rPr>
        <w:t>监测</w:t>
      </w:r>
      <w:r>
        <w:rPr>
          <w:rFonts w:hint="eastAsia" w:ascii="宋体" w:hAnsi="宋体" w:eastAsia="宋体" w:cs="宋体"/>
          <w:bCs/>
          <w:kern w:val="0"/>
          <w:sz w:val="28"/>
          <w:szCs w:val="28"/>
        </w:rPr>
        <w:t>地点：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枣园街道办0.09万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</w:rPr>
        <w:t>亩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布设诱捕器5台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eastAsia="zh-CN"/>
        </w:rPr>
        <w:t>）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</w:rPr>
        <w:t>，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河庄坪镇0.06万亩（布设诱捕器4台），新城街道0.09万亩（布设诱捕器5台），万花山镇0.06万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</w:rPr>
        <w:t>亩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布设诱捕器4台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eastAsia="zh-CN"/>
        </w:rPr>
        <w:t>）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</w:rPr>
        <w:t>，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柳林镇0.06万亩（布设诱捕器4台），肤施街道0.04万亩（布设诱捕器2台），川口镇0.1万亩（布设诱捕器6台），李渠镇0.1万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</w:rPr>
        <w:t>亩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布设诱捕器6台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eastAsia="zh-CN"/>
        </w:rPr>
        <w:t>）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  <w:lang w:val="en-US" w:eastAsia="zh-CN"/>
        </w:rPr>
        <w:t>，姚店镇0.22万亩（布设诱捕器12台），甘谷驿镇0.06万亩（布设诱捕器4台）、青化砭镇0.06万亩（布设诱捕器4台），丰庄乡0.06万亩（布设诱捕器4台）</w:t>
      </w:r>
      <w:r>
        <w:rPr>
          <w:rFonts w:hint="eastAsia" w:ascii="宋体" w:hAnsi="宋体" w:eastAsia="宋体" w:cs="宋体"/>
          <w:bCs/>
          <w:kern w:val="0"/>
          <w:sz w:val="28"/>
          <w:szCs w:val="28"/>
          <w:u w:val="none"/>
        </w:rPr>
        <w:t>。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52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autoSpaceDE w:val="0"/>
      <w:autoSpaceDN w:val="0"/>
      <w:adjustRightInd w:val="0"/>
      <w:ind w:firstLine="420"/>
    </w:pPr>
    <w:rPr>
      <w:kern w:val="0"/>
      <w:szCs w:val="21"/>
    </w:rPr>
  </w:style>
  <w:style w:type="paragraph" w:customStyle="1" w:styleId="5">
    <w:name w:val="目录"/>
    <w:basedOn w:val="1"/>
    <w:unhideWhenUsed/>
    <w:qFormat/>
    <w:uiPriority w:val="99"/>
    <w:pPr>
      <w:widowControl/>
      <w:spacing w:beforeLines="0" w:afterLines="0"/>
      <w:jc w:val="center"/>
    </w:pPr>
    <w:rPr>
      <w:rFonts w:hint="eastAsia" w:ascii="宋体"/>
      <w:b/>
      <w:sz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2026-07-22T09:02:45Z</dcterms:created>
  <dc:creator>admin</dc:creator>
  <cp:lastModifiedBy>admin</cp:lastModifiedBy>
  <dcterms:modified xsi:type="dcterms:W3CDTF">2026-07-22T09:03:26Z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eyJoZGlkIjoiNDFiZmZmNDQyYzUxMzhiOWVkN2IzMDRmYThlNTRhNTAiLCJ1c2VySWQiOiI3ODAwNzU1NjEifQ==</vt:lpwstr>
  </property>
  <property fmtid="{D5CDD505-2E9C-101B-9397-08002B2CF9AE}" pid="4" name="ICV">
    <vt:lpwstr>A2C4DB8A36D341E597C831E8568C2D48_12</vt:lpwstr>
  </property>
</Properties>
</file>