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CED6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b/>
          <w:bCs/>
          <w:sz w:val="44"/>
          <w:szCs w:val="52"/>
          <w:lang w:val="en-US" w:eastAsia="zh-CN"/>
        </w:rPr>
      </w:pPr>
      <w:r>
        <w:rPr>
          <w:rFonts w:hint="eastAsia" w:ascii="仿宋_GB2312" w:hAnsi="仿宋_GB2312" w:eastAsia="仿宋_GB2312" w:cs="仿宋_GB2312"/>
          <w:b/>
          <w:bCs/>
          <w:sz w:val="44"/>
          <w:szCs w:val="52"/>
          <w:lang w:val="en-US" w:eastAsia="zh-CN"/>
        </w:rPr>
        <w:t>采购需求</w:t>
      </w:r>
    </w:p>
    <w:p w14:paraId="2336444F">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000000"/>
          <w:sz w:val="32"/>
          <w:szCs w:val="32"/>
          <w:lang w:val="zh-CN"/>
        </w:rPr>
      </w:pPr>
      <w:r>
        <w:rPr>
          <w:rFonts w:hint="eastAsia" w:ascii="仿宋_GB2312" w:hAnsi="仿宋_GB2312" w:eastAsia="仿宋_GB2312" w:cs="仿宋_GB2312"/>
          <w:b/>
          <w:bCs/>
          <w:color w:val="000000"/>
          <w:sz w:val="32"/>
          <w:szCs w:val="32"/>
          <w:lang w:val="en-US" w:eastAsia="zh-CN"/>
        </w:rPr>
        <w:t>一、</w:t>
      </w:r>
      <w:r>
        <w:rPr>
          <w:rFonts w:hint="eastAsia" w:ascii="仿宋_GB2312" w:hAnsi="仿宋_GB2312" w:eastAsia="仿宋_GB2312" w:cs="仿宋_GB2312"/>
          <w:b/>
          <w:bCs/>
          <w:color w:val="000000"/>
          <w:sz w:val="32"/>
          <w:szCs w:val="32"/>
          <w:lang w:val="zh-CN"/>
        </w:rPr>
        <w:t>项目概况</w:t>
      </w:r>
    </w:p>
    <w:p w14:paraId="1A81CFD7">
      <w:pPr>
        <w:numPr>
          <w:ilvl w:val="0"/>
          <w:numId w:val="0"/>
        </w:numPr>
        <w:adjustRightInd w:val="0"/>
        <w:snapToGrid w:val="0"/>
        <w:spacing w:line="576" w:lineRule="exact"/>
        <w:ind w:firstLine="640" w:firstLineChars="200"/>
        <w:rPr>
          <w:rFonts w:hint="eastAsia" w:ascii="仿宋_GB2312" w:hAnsi="仿宋_GB2312" w:eastAsia="仿宋_GB2312" w:cs="仿宋_GB2312"/>
          <w:color w:val="000000"/>
          <w:sz w:val="32"/>
          <w:szCs w:val="32"/>
          <w:lang w:val="en-US" w:eastAsia="zh-CN"/>
        </w:rPr>
      </w:pPr>
      <w:r>
        <w:rPr>
          <w:rFonts w:hint="eastAsia" w:ascii="Times New Roman" w:hAnsi="Times New Roman" w:eastAsia="仿宋_GB2312" w:cs="Times New Roman"/>
          <w:spacing w:val="0"/>
          <w:sz w:val="32"/>
          <w:szCs w:val="32"/>
          <w:lang w:val="en-US" w:eastAsia="zh-CN"/>
        </w:rPr>
        <w:t>协助西安高新区营商办扎实开展“营商环境突破年”活动，开展营商环境典型案例培育工作，挖掘高新区各部门在营商环境领域典型经验和做法，形成高质量案例。对标国家和先进地区营商环境政策和做法，探索高新区在服务全产业链、投资审批改革等领域集成性、系统性的改革思路。</w:t>
      </w:r>
    </w:p>
    <w:p w14:paraId="1BEEA11F">
      <w:pPr>
        <w:numPr>
          <w:ilvl w:val="0"/>
          <w:numId w:val="0"/>
        </w:numPr>
        <w:adjustRightInd w:val="0"/>
        <w:snapToGrid w:val="0"/>
        <w:spacing w:line="576" w:lineRule="exact"/>
        <w:ind w:firstLine="643" w:firstLineChars="200"/>
        <w:rPr>
          <w:rFonts w:hint="default" w:eastAsia="仿宋_GB2312"/>
          <w:b/>
          <w:bCs/>
          <w:lang w:val="en-US" w:eastAsia="zh-CN"/>
        </w:rPr>
      </w:pPr>
      <w:r>
        <w:rPr>
          <w:rFonts w:hint="eastAsia" w:ascii="仿宋_GB2312" w:hAnsi="仿宋_GB2312" w:eastAsia="仿宋_GB2312" w:cs="仿宋_GB2312"/>
          <w:b/>
          <w:bCs/>
          <w:color w:val="000000"/>
          <w:sz w:val="32"/>
          <w:szCs w:val="32"/>
          <w:lang w:val="en-US" w:eastAsia="zh-CN"/>
        </w:rPr>
        <w:t>二、项目预算</w:t>
      </w:r>
      <w:r>
        <w:rPr>
          <w:rFonts w:hint="eastAsia" w:ascii="仿宋_GB2312" w:hAnsi="仿宋_GB2312" w:eastAsia="仿宋_GB2312" w:cs="仿宋_GB2312"/>
          <w:b/>
          <w:bCs/>
          <w:color w:val="000000"/>
          <w:sz w:val="32"/>
          <w:szCs w:val="32"/>
          <w:lang w:val="zh-CN"/>
        </w:rPr>
        <w:t>：</w:t>
      </w:r>
      <w:r>
        <w:rPr>
          <w:rFonts w:hint="eastAsia" w:ascii="仿宋_GB2312" w:hAnsi="仿宋_GB2312" w:eastAsia="仿宋_GB2312" w:cs="仿宋_GB2312"/>
          <w:b/>
          <w:bCs/>
          <w:color w:val="000000"/>
          <w:sz w:val="32"/>
          <w:szCs w:val="32"/>
          <w:lang w:val="en-US" w:eastAsia="zh-CN"/>
        </w:rPr>
        <w:t>人民币299000.00</w:t>
      </w:r>
      <w:r>
        <w:rPr>
          <w:rFonts w:hint="eastAsia" w:ascii="仿宋_GB2312" w:hAnsi="仿宋_GB2312" w:eastAsia="仿宋_GB2312" w:cs="仿宋_GB2312"/>
          <w:b/>
          <w:bCs/>
          <w:color w:val="000000"/>
          <w:sz w:val="32"/>
          <w:szCs w:val="32"/>
          <w:lang w:val="zh-CN"/>
        </w:rPr>
        <w:t>元，</w:t>
      </w:r>
      <w:r>
        <w:rPr>
          <w:rFonts w:hint="eastAsia" w:ascii="仿宋_GB2312" w:hAnsi="仿宋_GB2312" w:eastAsia="仿宋_GB2312" w:cs="仿宋_GB2312"/>
          <w:b/>
          <w:bCs/>
          <w:color w:val="000000"/>
          <w:sz w:val="32"/>
          <w:szCs w:val="32"/>
          <w:lang w:val="en-US" w:eastAsia="zh-CN"/>
        </w:rPr>
        <w:t>最高限价299000.00元</w:t>
      </w:r>
      <w:r>
        <w:rPr>
          <w:rFonts w:hint="eastAsia" w:ascii="仿宋_GB2312" w:hAnsi="仿宋_GB2312" w:eastAsia="仿宋_GB2312" w:cs="仿宋_GB2312"/>
          <w:b/>
          <w:bCs/>
          <w:color w:val="000000"/>
          <w:sz w:val="32"/>
          <w:szCs w:val="32"/>
          <w:lang w:val="zh-CN"/>
        </w:rPr>
        <w:t>。</w:t>
      </w:r>
    </w:p>
    <w:p w14:paraId="1C9A3B50">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auto"/>
          <w:sz w:val="32"/>
          <w:szCs w:val="32"/>
          <w:lang w:val="zh-CN"/>
        </w:rPr>
      </w:pPr>
      <w:r>
        <w:rPr>
          <w:rFonts w:hint="eastAsia" w:ascii="仿宋_GB2312" w:hAnsi="仿宋_GB2312" w:eastAsia="仿宋_GB2312" w:cs="仿宋_GB2312"/>
          <w:b/>
          <w:bCs/>
          <w:color w:val="000000"/>
          <w:sz w:val="32"/>
          <w:szCs w:val="32"/>
          <w:lang w:val="en-US" w:eastAsia="zh-CN"/>
        </w:rPr>
        <w:t>三、</w:t>
      </w:r>
      <w:r>
        <w:rPr>
          <w:rFonts w:hint="eastAsia" w:ascii="仿宋_GB2312" w:hAnsi="仿宋_GB2312" w:eastAsia="仿宋_GB2312" w:cs="仿宋_GB2312"/>
          <w:b/>
          <w:bCs/>
          <w:color w:val="auto"/>
          <w:sz w:val="32"/>
          <w:szCs w:val="32"/>
          <w:lang w:val="en-US" w:eastAsia="zh-CN"/>
        </w:rPr>
        <w:t>服务内容</w:t>
      </w:r>
    </w:p>
    <w:p w14:paraId="686A5FC5">
      <w:pPr>
        <w:numPr>
          <w:ilvl w:val="0"/>
          <w:numId w:val="0"/>
        </w:numPr>
        <w:adjustRightInd w:val="0"/>
        <w:snapToGrid w:val="0"/>
        <w:spacing w:line="576" w:lineRule="exact"/>
        <w:ind w:firstLine="640" w:firstLineChars="200"/>
        <w:rPr>
          <w:rFonts w:hint="eastAsia"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开展营商环境典型案例培育工作，挖掘高新区各部门在营商环境领域典型经验和做法，形成高质量案例。同时根据工作需求，协助高新营商办开展政策研究、调查研究、示范创建、满意度调查等工作。</w:t>
      </w:r>
    </w:p>
    <w:p w14:paraId="6FC475BE">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auto"/>
          <w:sz w:val="32"/>
          <w:szCs w:val="32"/>
          <w:lang w:val="zh-CN" w:eastAsia="zh-CN"/>
        </w:rPr>
      </w:pPr>
      <w:r>
        <w:rPr>
          <w:rFonts w:hint="eastAsia" w:ascii="仿宋_GB2312" w:hAnsi="仿宋_GB2312" w:eastAsia="仿宋_GB2312" w:cs="仿宋_GB2312"/>
          <w:b/>
          <w:bCs/>
          <w:color w:val="auto"/>
          <w:sz w:val="32"/>
          <w:szCs w:val="32"/>
          <w:lang w:val="en-US" w:eastAsia="zh-CN"/>
        </w:rPr>
        <w:t>四、</w:t>
      </w:r>
      <w:r>
        <w:rPr>
          <w:rFonts w:hint="eastAsia" w:ascii="仿宋_GB2312" w:hAnsi="仿宋_GB2312" w:eastAsia="仿宋_GB2312" w:cs="仿宋_GB2312"/>
          <w:b/>
          <w:bCs/>
          <w:color w:val="auto"/>
          <w:sz w:val="32"/>
          <w:szCs w:val="32"/>
          <w:lang w:val="zh-CN"/>
        </w:rPr>
        <w:t>人员</w:t>
      </w:r>
      <w:r>
        <w:rPr>
          <w:rFonts w:hint="eastAsia" w:ascii="仿宋_GB2312" w:hAnsi="仿宋_GB2312" w:eastAsia="仿宋_GB2312" w:cs="仿宋_GB2312"/>
          <w:b/>
          <w:bCs/>
          <w:color w:val="auto"/>
          <w:sz w:val="32"/>
          <w:szCs w:val="32"/>
          <w:lang w:val="zh-CN" w:eastAsia="zh-CN"/>
        </w:rPr>
        <w:t>要求</w:t>
      </w:r>
    </w:p>
    <w:p w14:paraId="4D1A32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pacing w:val="0"/>
          <w:sz w:val="32"/>
          <w:szCs w:val="32"/>
          <w:lang w:val="en-US" w:eastAsia="zh-CN"/>
        </w:rPr>
      </w:pPr>
      <w:r>
        <w:rPr>
          <w:rFonts w:hint="eastAsia" w:ascii="仿宋_GB2312" w:hAnsi="仿宋_GB2312" w:eastAsia="仿宋_GB2312" w:cs="仿宋_GB2312"/>
          <w:color w:val="auto"/>
          <w:sz w:val="32"/>
          <w:szCs w:val="32"/>
          <w:lang w:val="en-US" w:eastAsia="zh-CN"/>
        </w:rPr>
        <w:t>要求项目负责人具有高级职称，团队人员不少于5人。必要时应委派专业人员赴高新营商办协助工作。近三年有与营商环境创新改革建设相关的项目业绩、课题研究咨询服务经历，</w:t>
      </w:r>
      <w:r>
        <w:rPr>
          <w:rFonts w:hint="eastAsia" w:ascii="Times New Roman" w:hAnsi="Times New Roman" w:eastAsia="仿宋_GB2312" w:cs="Times New Roman"/>
          <w:spacing w:val="0"/>
          <w:sz w:val="32"/>
          <w:szCs w:val="32"/>
          <w:lang w:val="en-US" w:eastAsia="zh-CN"/>
        </w:rPr>
        <w:t>按时完成采购人要求的案例培育、调研等工作。</w:t>
      </w:r>
    </w:p>
    <w:p w14:paraId="1879ADE4">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auto"/>
          <w:sz w:val="32"/>
          <w:szCs w:val="32"/>
          <w:lang w:val="zh-CN"/>
        </w:rPr>
      </w:pPr>
      <w:r>
        <w:rPr>
          <w:rFonts w:hint="eastAsia" w:ascii="仿宋_GB2312" w:hAnsi="仿宋_GB2312" w:eastAsia="仿宋_GB2312" w:cs="仿宋_GB2312"/>
          <w:b/>
          <w:bCs/>
          <w:color w:val="auto"/>
          <w:sz w:val="32"/>
          <w:szCs w:val="32"/>
          <w:lang w:val="en-US" w:eastAsia="zh-CN"/>
        </w:rPr>
        <w:t>五、其他要求</w:t>
      </w:r>
    </w:p>
    <w:p w14:paraId="5B54721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（一）进度要求</w:t>
      </w:r>
    </w:p>
    <w:p w14:paraId="373B4C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pacing w:val="0"/>
          <w:sz w:val="32"/>
          <w:szCs w:val="32"/>
          <w:lang w:val="en-US" w:eastAsia="zh-CN"/>
        </w:rPr>
      </w:pPr>
      <w:r>
        <w:rPr>
          <w:rFonts w:hint="eastAsia" w:ascii="仿宋_GB2312" w:hAnsi="仿宋_GB2312" w:eastAsia="仿宋_GB2312" w:cs="仿宋_GB2312"/>
          <w:color w:val="auto"/>
          <w:sz w:val="32"/>
          <w:szCs w:val="32"/>
          <w:lang w:val="en-US" w:eastAsia="zh-CN"/>
        </w:rPr>
        <w:t>1.</w:t>
      </w:r>
      <w:r>
        <w:rPr>
          <w:rFonts w:hint="eastAsia" w:ascii="Times New Roman" w:hAnsi="Times New Roman" w:eastAsia="仿宋_GB2312" w:cs="Times New Roman"/>
          <w:spacing w:val="0"/>
          <w:sz w:val="32"/>
          <w:szCs w:val="32"/>
          <w:lang w:val="en-US" w:eastAsia="zh-CN"/>
        </w:rPr>
        <w:t>在2026年12月底前至少形成24个营商环境典型案例，其中，至少10个获得省级层面认可，争取1个获得国家认可。</w:t>
      </w:r>
    </w:p>
    <w:p w14:paraId="1443DF7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Times New Roman" w:hAnsi="Times New Roman" w:eastAsia="仿宋_GB2312" w:cs="Times New Roman"/>
          <w:spacing w:val="0"/>
          <w:sz w:val="32"/>
          <w:szCs w:val="32"/>
          <w:lang w:val="en-US" w:eastAsia="zh-CN"/>
        </w:rPr>
        <w:t>协助高新区做好营商环境研究工作、撰写有关建议，定期赴高新区开展调研、座谈，并结合营商环境实际提出具有建设性的意见</w:t>
      </w:r>
      <w:r>
        <w:rPr>
          <w:rFonts w:hint="eastAsia" w:ascii="仿宋_GB2312" w:hAnsi="仿宋_GB2312" w:eastAsia="仿宋_GB2312" w:cs="仿宋_GB2312"/>
          <w:color w:val="auto"/>
          <w:sz w:val="32"/>
          <w:szCs w:val="32"/>
          <w:lang w:val="en-US" w:eastAsia="zh-CN"/>
        </w:rPr>
        <w:t>。</w:t>
      </w:r>
    </w:p>
    <w:p w14:paraId="03CBFA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（二）质量验收标准或规范</w:t>
      </w:r>
    </w:p>
    <w:p w14:paraId="73025F8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1.形成24个营商环境典型案例，至少</w:t>
      </w:r>
      <w:r>
        <w:rPr>
          <w:rFonts w:hint="eastAsia" w:ascii="仿宋_GB2312" w:hAnsi="仿宋_GB2312" w:eastAsia="仿宋_GB2312" w:cs="仿宋_GB2312"/>
          <w:spacing w:val="0"/>
          <w:sz w:val="32"/>
          <w:szCs w:val="32"/>
          <w:highlight w:val="none"/>
          <w:lang w:val="en-US" w:eastAsia="zh-CN"/>
        </w:rPr>
        <w:t>10个获</w:t>
      </w:r>
      <w:r>
        <w:rPr>
          <w:rFonts w:hint="eastAsia" w:ascii="仿宋_GB2312" w:hAnsi="仿宋_GB2312" w:eastAsia="仿宋_GB2312" w:cs="仿宋_GB2312"/>
          <w:spacing w:val="0"/>
          <w:sz w:val="32"/>
          <w:szCs w:val="32"/>
          <w:lang w:val="en-US" w:eastAsia="zh-CN"/>
        </w:rPr>
        <w:t>得省级层面认可，争取1个获得国家认可。</w:t>
      </w:r>
    </w:p>
    <w:p w14:paraId="37FB711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pacing w:val="0"/>
          <w:sz w:val="32"/>
          <w:szCs w:val="32"/>
          <w:lang w:val="en-US" w:eastAsia="zh-CN"/>
        </w:rPr>
        <w:t>2.认定标准为：省级标准为省职转办、省发改委（省营商办）及省政府办公厅政务信息等采纳或通报、省领导批示认可；国家级为国务院职转办、国家发改委等部委采纳、通报或被中国营商环境报告、人民日报（纸质版）等中央媒体采纳）。</w:t>
      </w:r>
    </w:p>
    <w:p w14:paraId="678F4425">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六、商务要求</w:t>
      </w:r>
    </w:p>
    <w:p w14:paraId="72FA92BC">
      <w:pPr>
        <w:numPr>
          <w:ilvl w:val="0"/>
          <w:numId w:val="0"/>
        </w:numPr>
        <w:adjustRightInd w:val="0"/>
        <w:snapToGrid w:val="0"/>
        <w:spacing w:line="576" w:lineRule="exact"/>
        <w:ind w:firstLine="640" w:firstLineChars="200"/>
        <w:rPr>
          <w:rFonts w:hint="eastAsia" w:ascii="仿宋_GB2312" w:hAnsi="仿宋_GB2312" w:eastAsia="仿宋_GB2312" w:cs="仿宋_GB2312"/>
          <w:b w:val="0"/>
          <w:bCs w:val="0"/>
          <w:kern w:val="2"/>
          <w:sz w:val="32"/>
          <w:szCs w:val="32"/>
          <w:highlight w:val="none"/>
          <w:lang w:val="zh-CN"/>
        </w:rPr>
      </w:pPr>
      <w:r>
        <w:rPr>
          <w:rFonts w:hint="eastAsia" w:ascii="仿宋_GB2312" w:hAnsi="仿宋_GB2312" w:eastAsia="仿宋_GB2312" w:cs="仿宋_GB2312"/>
          <w:b w:val="0"/>
          <w:bCs w:val="0"/>
          <w:kern w:val="2"/>
          <w:sz w:val="32"/>
          <w:szCs w:val="32"/>
          <w:highlight w:val="none"/>
          <w:lang w:val="zh-CN"/>
        </w:rPr>
        <w:t>（一）服务期限：自合同签订之日起一年。</w:t>
      </w:r>
    </w:p>
    <w:p w14:paraId="20EFDE0A">
      <w:pPr>
        <w:numPr>
          <w:ilvl w:val="0"/>
          <w:numId w:val="0"/>
        </w:numPr>
        <w:adjustRightInd w:val="0"/>
        <w:snapToGrid w:val="0"/>
        <w:spacing w:line="576" w:lineRule="exact"/>
        <w:ind w:firstLine="640" w:firstLineChars="200"/>
        <w:rPr>
          <w:rFonts w:hint="eastAsia" w:ascii="仿宋_GB2312" w:hAnsi="仿宋_GB2312" w:eastAsia="仿宋_GB2312" w:cs="仿宋_GB2312"/>
          <w:b w:val="0"/>
          <w:bCs w:val="0"/>
          <w:kern w:val="2"/>
          <w:sz w:val="32"/>
          <w:szCs w:val="32"/>
          <w:highlight w:val="none"/>
          <w:lang w:val="zh-CN"/>
        </w:rPr>
      </w:pPr>
      <w:r>
        <w:rPr>
          <w:rFonts w:hint="eastAsia" w:ascii="仿宋_GB2312" w:hAnsi="仿宋_GB2312" w:eastAsia="仿宋_GB2312" w:cs="仿宋_GB2312"/>
          <w:b w:val="0"/>
          <w:bCs w:val="0"/>
          <w:kern w:val="2"/>
          <w:sz w:val="32"/>
          <w:szCs w:val="32"/>
          <w:highlight w:val="none"/>
          <w:lang w:val="en-US" w:eastAsia="zh-CN"/>
        </w:rPr>
        <w:t>说明：</w:t>
      </w:r>
      <w:r>
        <w:rPr>
          <w:rFonts w:hint="eastAsia" w:ascii="仿宋_GB2312" w:hAnsi="仿宋_GB2312" w:eastAsia="仿宋_GB2312" w:cs="仿宋_GB2312"/>
          <w:b w:val="0"/>
          <w:bCs w:val="0"/>
          <w:kern w:val="2"/>
          <w:sz w:val="32"/>
          <w:szCs w:val="32"/>
          <w:highlight w:val="none"/>
          <w:lang w:val="zh-CN"/>
        </w:rPr>
        <w:t>本项目采取一次招标三年沿用，在后期项目实施阶段</w:t>
      </w:r>
      <w:r>
        <w:rPr>
          <w:rFonts w:hint="eastAsia" w:ascii="仿宋_GB2312" w:hAnsi="仿宋_GB2312" w:eastAsia="仿宋_GB2312" w:cs="仿宋_GB2312"/>
          <w:b w:val="0"/>
          <w:bCs w:val="0"/>
          <w:kern w:val="2"/>
          <w:sz w:val="32"/>
          <w:szCs w:val="32"/>
          <w:highlight w:val="none"/>
          <w:lang w:val="en-US" w:eastAsia="zh-CN"/>
        </w:rPr>
        <w:t>甲方</w:t>
      </w:r>
      <w:r>
        <w:rPr>
          <w:rFonts w:hint="eastAsia" w:ascii="仿宋_GB2312" w:hAnsi="仿宋_GB2312" w:eastAsia="仿宋_GB2312" w:cs="仿宋_GB2312"/>
          <w:b w:val="0"/>
          <w:bCs w:val="0"/>
          <w:kern w:val="2"/>
          <w:sz w:val="32"/>
          <w:szCs w:val="32"/>
          <w:highlight w:val="none"/>
          <w:lang w:val="zh-CN"/>
        </w:rPr>
        <w:t>可根据《政府购买服务管理办法》（财政部令第102号）文件的规定，</w:t>
      </w:r>
      <w:r>
        <w:rPr>
          <w:rFonts w:hint="default" w:ascii="Times New Roman" w:hAnsi="Times New Roman" w:eastAsia="仿宋_GB2312" w:cs="Times New Roman"/>
          <w:bCs/>
          <w:color w:val="000000"/>
          <w:sz w:val="32"/>
          <w:szCs w:val="32"/>
          <w:highlight w:val="none"/>
          <w:lang w:val="en-US" w:eastAsia="zh-CN"/>
        </w:rPr>
        <w:t>服务价格不变或降低的情况下</w:t>
      </w:r>
      <w:r>
        <w:rPr>
          <w:rFonts w:hint="eastAsia" w:ascii="仿宋_GB2312" w:hAnsi="仿宋_GB2312" w:eastAsia="仿宋_GB2312" w:cs="仿宋_GB2312"/>
          <w:b w:val="0"/>
          <w:bCs w:val="0"/>
          <w:kern w:val="2"/>
          <w:sz w:val="32"/>
          <w:szCs w:val="32"/>
          <w:highlight w:val="none"/>
          <w:lang w:val="zh-CN"/>
        </w:rPr>
        <w:t>，合同内容不变，且符合合同服务内容和要求，量化考核达标的情况下，为了保证服务工作的延续性，可进行续签，续签合同期限不超过两年。</w:t>
      </w:r>
    </w:p>
    <w:p w14:paraId="0ECF3969">
      <w:pPr>
        <w:numPr>
          <w:ilvl w:val="0"/>
          <w:numId w:val="0"/>
        </w:numPr>
        <w:adjustRightInd w:val="0"/>
        <w:snapToGrid w:val="0"/>
        <w:spacing w:line="576" w:lineRule="exact"/>
        <w:ind w:firstLine="640" w:firstLineChars="200"/>
        <w:rPr>
          <w:rFonts w:hint="eastAsia" w:ascii="仿宋_GB2312" w:hAnsi="仿宋_GB2312" w:eastAsia="仿宋_GB2312" w:cs="仿宋_GB2312"/>
          <w:b w:val="0"/>
          <w:bCs w:val="0"/>
          <w:color w:val="auto"/>
          <w:sz w:val="32"/>
          <w:szCs w:val="32"/>
          <w:lang w:val="zh-CN" w:eastAsia="zh-CN"/>
        </w:rPr>
      </w:pPr>
      <w:r>
        <w:rPr>
          <w:rFonts w:hint="eastAsia" w:ascii="仿宋_GB2312" w:hAnsi="仿宋_GB2312" w:eastAsia="仿宋_GB2312" w:cs="仿宋_GB2312"/>
          <w:b w:val="0"/>
          <w:bCs w:val="0"/>
          <w:kern w:val="2"/>
          <w:sz w:val="32"/>
          <w:szCs w:val="32"/>
          <w:highlight w:val="none"/>
          <w:lang w:val="zh-CN"/>
        </w:rPr>
        <w:t>（</w:t>
      </w:r>
      <w:r>
        <w:rPr>
          <w:rFonts w:hint="eastAsia" w:ascii="仿宋_GB2312" w:hAnsi="仿宋_GB2312" w:eastAsia="仿宋_GB2312" w:cs="仿宋_GB2312"/>
          <w:b w:val="0"/>
          <w:bCs w:val="0"/>
          <w:kern w:val="2"/>
          <w:sz w:val="32"/>
          <w:szCs w:val="32"/>
          <w:highlight w:val="none"/>
          <w:lang w:val="en-US" w:eastAsia="zh-CN"/>
        </w:rPr>
        <w:t>二</w:t>
      </w:r>
      <w:r>
        <w:rPr>
          <w:rFonts w:hint="eastAsia" w:ascii="仿宋_GB2312" w:hAnsi="仿宋_GB2312" w:eastAsia="仿宋_GB2312" w:cs="仿宋_GB2312"/>
          <w:b w:val="0"/>
          <w:bCs w:val="0"/>
          <w:kern w:val="2"/>
          <w:sz w:val="32"/>
          <w:szCs w:val="32"/>
          <w:highlight w:val="none"/>
          <w:lang w:val="zh-CN"/>
        </w:rPr>
        <w:t>）</w:t>
      </w:r>
      <w:r>
        <w:rPr>
          <w:rFonts w:hint="eastAsia" w:ascii="仿宋_GB2312" w:hAnsi="仿宋_GB2312" w:eastAsia="仿宋_GB2312" w:cs="仿宋_GB2312"/>
          <w:b w:val="0"/>
          <w:bCs w:val="0"/>
          <w:kern w:val="2"/>
          <w:sz w:val="32"/>
          <w:szCs w:val="32"/>
          <w:highlight w:val="none"/>
          <w:lang w:val="en-US" w:eastAsia="zh-CN"/>
        </w:rPr>
        <w:t>服务地点：西安高新区都市之门a座，具体已采购人要求为准</w:t>
      </w:r>
      <w:r>
        <w:rPr>
          <w:rFonts w:hint="eastAsia" w:ascii="Times New Roman" w:hAnsi="Times New Roman" w:eastAsia="仿宋_GB2312" w:cs="Times New Roman"/>
          <w:b w:val="0"/>
          <w:bCs w:val="0"/>
          <w:spacing w:val="0"/>
          <w:sz w:val="32"/>
          <w:szCs w:val="32"/>
          <w:lang w:val="en-US" w:eastAsia="zh-CN"/>
        </w:rPr>
        <w:t>。</w:t>
      </w:r>
    </w:p>
    <w:p w14:paraId="0F8D47E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bCs/>
          <w:spacing w:val="0"/>
          <w:sz w:val="32"/>
          <w:szCs w:val="32"/>
          <w:lang w:val="en-US" w:eastAsia="zh-CN"/>
        </w:rPr>
      </w:pPr>
      <w:r>
        <w:rPr>
          <w:rFonts w:hint="eastAsia" w:ascii="仿宋_GB2312" w:hAnsi="仿宋_GB2312" w:eastAsia="仿宋_GB2312" w:cs="仿宋_GB2312"/>
          <w:b/>
          <w:bCs/>
          <w:color w:val="auto"/>
          <w:sz w:val="32"/>
          <w:szCs w:val="32"/>
          <w:lang w:val="en-US" w:eastAsia="zh-CN"/>
        </w:rPr>
        <w:t>七、</w:t>
      </w:r>
      <w:r>
        <w:rPr>
          <w:rFonts w:hint="eastAsia" w:ascii="Times New Roman" w:hAnsi="Times New Roman" w:eastAsia="仿宋_GB2312" w:cs="Times New Roman"/>
          <w:b/>
          <w:bCs/>
          <w:spacing w:val="0"/>
          <w:sz w:val="32"/>
          <w:szCs w:val="32"/>
          <w:lang w:val="en-US" w:eastAsia="zh-CN"/>
        </w:rPr>
        <w:t>知识产权、保密规定、违约责任等</w:t>
      </w:r>
    </w:p>
    <w:p w14:paraId="246545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spacing w:val="0"/>
          <w:sz w:val="32"/>
          <w:szCs w:val="32"/>
          <w:lang w:val="en-US" w:eastAsia="zh-CN"/>
        </w:rPr>
      </w:pPr>
      <w:r>
        <w:rPr>
          <w:rFonts w:hint="eastAsia" w:ascii="Times New Roman" w:hAnsi="Times New Roman" w:eastAsia="仿宋_GB2312" w:cs="Times New Roman"/>
          <w:b w:val="0"/>
          <w:bCs w:val="0"/>
          <w:spacing w:val="0"/>
          <w:sz w:val="32"/>
          <w:szCs w:val="32"/>
          <w:lang w:val="en-US" w:eastAsia="zh-CN"/>
        </w:rPr>
        <w:t>（一）</w:t>
      </w:r>
      <w:r>
        <w:rPr>
          <w:rFonts w:hint="eastAsia" w:ascii="Times New Roman" w:hAnsi="Times New Roman" w:eastAsia="仿宋_GB2312" w:cs="Times New Roman"/>
          <w:spacing w:val="0"/>
          <w:sz w:val="32"/>
          <w:szCs w:val="32"/>
          <w:lang w:val="en-US" w:eastAsia="zh-CN"/>
        </w:rPr>
        <w:t>全部原始资料、中间过渡资料及最终成果的知识产权以及所有权属于采购人</w:t>
      </w:r>
      <w:r>
        <w:rPr>
          <w:rFonts w:hint="default" w:ascii="Times New Roman" w:hAnsi="Times New Roman" w:eastAsia="仿宋_GB2312" w:cs="Times New Roman"/>
          <w:b w:val="0"/>
          <w:bCs w:val="0"/>
          <w:spacing w:val="0"/>
          <w:sz w:val="32"/>
          <w:szCs w:val="32"/>
          <w:lang w:val="en-US" w:eastAsia="zh-CN"/>
        </w:rPr>
        <w:t>。</w:t>
      </w:r>
    </w:p>
    <w:p w14:paraId="67D749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spacing w:val="0"/>
          <w:sz w:val="32"/>
          <w:szCs w:val="32"/>
          <w:lang w:val="en-US" w:eastAsia="zh-CN"/>
        </w:rPr>
      </w:pPr>
      <w:r>
        <w:rPr>
          <w:rFonts w:hint="eastAsia" w:ascii="Times New Roman" w:hAnsi="Times New Roman" w:eastAsia="仿宋_GB2312" w:cs="Times New Roman"/>
          <w:b w:val="0"/>
          <w:bCs w:val="0"/>
          <w:spacing w:val="0"/>
          <w:sz w:val="32"/>
          <w:szCs w:val="32"/>
          <w:lang w:val="en-US" w:eastAsia="zh-CN"/>
        </w:rPr>
        <w:t>（二）</w:t>
      </w:r>
      <w:r>
        <w:rPr>
          <w:rFonts w:hint="eastAsia" w:ascii="Times New Roman" w:hAnsi="Times New Roman" w:eastAsia="仿宋_GB2312" w:cs="Times New Roman"/>
          <w:spacing w:val="0"/>
          <w:sz w:val="32"/>
          <w:szCs w:val="32"/>
          <w:lang w:val="en-US" w:eastAsia="zh-CN"/>
        </w:rPr>
        <w:t>未经采购人书面许可，服务商不得擅自将原始资料、中间过渡资料及最终成果复制自留使用或提供给其他任何单位或个人使用，不得为任何单位或个人谋取利益</w:t>
      </w:r>
      <w:r>
        <w:rPr>
          <w:rFonts w:hint="default" w:ascii="Times New Roman" w:hAnsi="Times New Roman" w:eastAsia="仿宋_GB2312" w:cs="Times New Roman"/>
          <w:b w:val="0"/>
          <w:bCs w:val="0"/>
          <w:spacing w:val="0"/>
          <w:sz w:val="32"/>
          <w:szCs w:val="32"/>
          <w:lang w:val="en-US" w:eastAsia="zh-CN"/>
        </w:rPr>
        <w:t>。</w:t>
      </w:r>
    </w:p>
    <w:p w14:paraId="4CBE278A">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leftChars="0" w:firstLine="640" w:firstLineChars="200"/>
        <w:textAlignment w:val="auto"/>
        <w:rPr>
          <w:rFonts w:hint="eastAsia" w:ascii="仿宋_GB2312" w:hAnsi="仿宋_GB2312" w:eastAsia="仿宋_GB2312" w:cs="仿宋_GB2312"/>
          <w:b/>
          <w:bCs/>
          <w:color w:val="auto"/>
          <w:sz w:val="32"/>
          <w:szCs w:val="32"/>
          <w:highlight w:val="none"/>
          <w:lang w:val="en-US" w:eastAsia="zh-CN"/>
        </w:rPr>
      </w:pPr>
      <w:r>
        <w:rPr>
          <w:rFonts w:hint="eastAsia" w:ascii="Times New Roman" w:hAnsi="Times New Roman" w:eastAsia="仿宋_GB2312" w:cs="Times New Roman"/>
          <w:b w:val="0"/>
          <w:bCs w:val="0"/>
          <w:spacing w:val="0"/>
          <w:sz w:val="32"/>
          <w:szCs w:val="32"/>
          <w:lang w:val="en-US" w:eastAsia="zh-CN"/>
        </w:rPr>
        <w:t>（三）</w:t>
      </w:r>
      <w:r>
        <w:rPr>
          <w:rFonts w:hint="default" w:ascii="Times New Roman" w:hAnsi="Times New Roman" w:eastAsia="仿宋_GB2312" w:cs="Times New Roman"/>
          <w:b w:val="0"/>
          <w:bCs w:val="0"/>
          <w:spacing w:val="0"/>
          <w:sz w:val="32"/>
          <w:szCs w:val="32"/>
          <w:lang w:val="en-US" w:eastAsia="zh-CN"/>
        </w:rPr>
        <w:t>依据《中华人民共和国</w:t>
      </w:r>
      <w:r>
        <w:rPr>
          <w:rFonts w:hint="eastAsia" w:ascii="Times New Roman" w:hAnsi="Times New Roman" w:eastAsia="仿宋_GB2312" w:cs="Times New Roman"/>
          <w:b w:val="0"/>
          <w:bCs w:val="0"/>
          <w:spacing w:val="0"/>
          <w:sz w:val="32"/>
          <w:szCs w:val="32"/>
          <w:lang w:val="en-US" w:eastAsia="zh-CN"/>
        </w:rPr>
        <w:t>民法典</w:t>
      </w:r>
      <w:r>
        <w:rPr>
          <w:rFonts w:hint="default" w:ascii="Times New Roman" w:hAnsi="Times New Roman" w:eastAsia="仿宋_GB2312" w:cs="Times New Roman"/>
          <w:b w:val="0"/>
          <w:bCs w:val="0"/>
          <w:spacing w:val="0"/>
          <w:sz w:val="32"/>
          <w:szCs w:val="32"/>
          <w:lang w:val="en-US" w:eastAsia="zh-CN"/>
        </w:rPr>
        <w:t>》、《中华人民共和国政府采购法》的相关条款，</w:t>
      </w:r>
      <w:r>
        <w:rPr>
          <w:rFonts w:hint="eastAsia" w:ascii="Times New Roman" w:hAnsi="Times New Roman" w:eastAsia="仿宋_GB2312" w:cs="Times New Roman"/>
          <w:spacing w:val="0"/>
          <w:sz w:val="32"/>
          <w:szCs w:val="32"/>
          <w:lang w:val="en-US" w:eastAsia="zh-CN"/>
        </w:rPr>
        <w:t>及成交后所签订合同约定内容执行，采购双方如有违约行为，依法履行经济赔偿并终止合同</w:t>
      </w:r>
      <w:r>
        <w:rPr>
          <w:rFonts w:hint="default" w:ascii="Times New Roman" w:hAnsi="Times New Roman" w:eastAsia="仿宋_GB2312" w:cs="Times New Roman"/>
          <w:b w:val="0"/>
          <w:bCs w:val="0"/>
          <w:spacing w:val="0"/>
          <w:sz w:val="32"/>
          <w:szCs w:val="32"/>
          <w:lang w:val="en-US" w:eastAsia="zh-CN"/>
        </w:rPr>
        <w:t>。</w:t>
      </w:r>
      <w:bookmarkStart w:id="0" w:name="_GoBack"/>
      <w:bookmarkEnd w:id="0"/>
    </w:p>
    <w:p w14:paraId="4F5B6C02">
      <w:pPr>
        <w:jc w:val="center"/>
        <w:rPr>
          <w:rFonts w:hint="eastAsia" w:ascii="仿宋_GB2312" w:hAnsi="仿宋_GB2312" w:eastAsia="仿宋_GB2312" w:cs="仿宋_GB2312"/>
          <w:b/>
          <w:bCs/>
          <w:sz w:val="44"/>
          <w:szCs w:val="5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3576C1"/>
    <w:rsid w:val="3E1E037D"/>
    <w:rsid w:val="656C55A9"/>
    <w:rsid w:val="67E40851"/>
    <w:rsid w:val="70113CA5"/>
    <w:rsid w:val="764F1523"/>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5"/>
    <w:qFormat/>
    <w:uiPriority w:val="0"/>
    <w:pPr>
      <w:keepNext/>
      <w:numPr>
        <w:ilvl w:val="0"/>
        <w:numId w:val="1"/>
      </w:numPr>
      <w:spacing w:line="700" w:lineRule="exact"/>
      <w:jc w:val="center"/>
      <w:outlineLvl w:val="0"/>
    </w:pPr>
    <w:rPr>
      <w:rFonts w:ascii="黑体" w:hAnsi="黑体" w:eastAsia="宋体"/>
      <w:b/>
      <w:sz w:val="44"/>
    </w:rPr>
  </w:style>
  <w:style w:type="paragraph" w:styleId="4">
    <w:name w:val="heading 2"/>
    <w:basedOn w:val="1"/>
    <w:next w:val="1"/>
    <w:link w:val="16"/>
    <w:semiHidden/>
    <w:unhideWhenUsed/>
    <w:qFormat/>
    <w:uiPriority w:val="0"/>
    <w:pPr>
      <w:keepNext/>
      <w:numPr>
        <w:ilvl w:val="1"/>
        <w:numId w:val="1"/>
      </w:numPr>
      <w:spacing w:line="700" w:lineRule="exact"/>
      <w:outlineLvl w:val="1"/>
    </w:pPr>
    <w:rPr>
      <w:rFonts w:ascii="黑体" w:hAnsi="黑体" w:eastAsia="宋体"/>
      <w:b/>
      <w:sz w:val="44"/>
    </w:rPr>
  </w:style>
  <w:style w:type="paragraph" w:styleId="5">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jc w:val="left"/>
    </w:pPr>
    <w:rPr>
      <w:kern w:val="0"/>
    </w:rPr>
  </w:style>
  <w:style w:type="paragraph" w:styleId="12">
    <w:name w:val="footer"/>
    <w:basedOn w:val="1"/>
    <w:next w:val="2"/>
    <w:qFormat/>
    <w:uiPriority w:val="99"/>
    <w:pPr>
      <w:tabs>
        <w:tab w:val="center" w:pos="4153"/>
        <w:tab w:val="right" w:pos="8306"/>
      </w:tabs>
      <w:snapToGrid w:val="0"/>
      <w:jc w:val="left"/>
    </w:pPr>
    <w:rPr>
      <w:sz w:val="18"/>
      <w:szCs w:val="18"/>
    </w:rPr>
  </w:style>
  <w:style w:type="character" w:customStyle="1" w:styleId="15">
    <w:name w:val="标题 1 Char"/>
    <w:link w:val="3"/>
    <w:qFormat/>
    <w:uiPriority w:val="0"/>
    <w:rPr>
      <w:rFonts w:ascii="黑体" w:hAnsi="黑体" w:eastAsia="宋体"/>
      <w:b/>
      <w:sz w:val="44"/>
    </w:rPr>
  </w:style>
  <w:style w:type="character" w:customStyle="1" w:styleId="16">
    <w:name w:val="标题 2 Char"/>
    <w:link w:val="4"/>
    <w:qFormat/>
    <w:uiPriority w:val="0"/>
    <w:rPr>
      <w:rFonts w:ascii="黑体" w:hAnsi="黑体" w:eastAsia="宋体"/>
      <w:b/>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1084</Words>
  <Characters>1105</Characters>
  <Lines>0</Lines>
  <Paragraphs>0</Paragraphs>
  <TotalTime>0</TotalTime>
  <ScaleCrop>false</ScaleCrop>
  <LinksUpToDate>false</LinksUpToDate>
  <CharactersWithSpaces>1108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2024-03-15T06:24:00Z</dcterms:created>
  <dc:creator>DELL</dc:creator>
  <cp:lastModifiedBy>陕西华采招标有限公司</cp:lastModifiedBy>
  <dcterms:modified xsi:type="dcterms:W3CDTF">2026-07-13T05:32:13Z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452917B7DF5041F5A5C64AFCFAFA45B1_12</vt:lpwstr>
  </property>
  <property fmtid="{D5CDD505-2E9C-101B-9397-08002B2CF9AE}" pid="4" name="KSOTemplateDocerSaveRecord">
    <vt:lpwstr>eyJoZGlkIjoiNzlkYjQxZmY4MWQ0ZWY2YTZhOTY1MTMyMDgzMmE0NmEiLCJ1c2VySWQiOiI5MzY1NjA0ODAifQ==</vt:lpwstr>
  </property>
</Properties>
</file>