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版本号：SXZH-2026-07520260602001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垃圾分类理念知识普及</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SXZH-2026-075</w:t>
      </w:r>
      <w:r>
        <w:br/>
      </w:r>
      <w:r>
        <w:br/>
      </w:r>
      <w:r>
        <w:br/>
      </w:r>
    </w:p>
    <w:p>
      <w:pPr>
        <w:pStyle w:val="null3"/>
        <w:jc w:val="center"/>
        <w:outlineLvl w:val="2"/>
      </w:pPr>
      <w:r>
        <w:rPr>
          <w:rFonts w:ascii="仿宋_GB2312" w:hAnsi="仿宋_GB2312" w:cs="仿宋_GB2312" w:eastAsia="仿宋_GB2312"/>
          <w:sz w:val="28"/>
          <w:b/>
        </w:rPr>
        <w:t>西安市生活垃圾分类服务中心</w:t>
      </w:r>
    </w:p>
    <w:p>
      <w:pPr>
        <w:pStyle w:val="null3"/>
        <w:jc w:val="center"/>
        <w:outlineLvl w:val="2"/>
      </w:pPr>
      <w:r>
        <w:rPr>
          <w:rFonts w:ascii="仿宋_GB2312" w:hAnsi="仿宋_GB2312" w:cs="仿宋_GB2312" w:eastAsia="仿宋_GB2312"/>
          <w:sz w:val="28"/>
          <w:b/>
        </w:rPr>
        <w:t>陕西筑辉工程咨询有限公司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陕西筑辉工程咨询有限公司</w:t>
      </w:r>
      <w:r>
        <w:rPr>
          <w:rFonts w:ascii="仿宋_GB2312" w:hAnsi="仿宋_GB2312" w:cs="仿宋_GB2312" w:eastAsia="仿宋_GB2312"/>
        </w:rPr>
        <w:t>（以下简称“代理机构”）受</w:t>
      </w:r>
      <w:r>
        <w:rPr>
          <w:rFonts w:ascii="仿宋_GB2312" w:hAnsi="仿宋_GB2312" w:cs="仿宋_GB2312" w:eastAsia="仿宋_GB2312"/>
        </w:rPr>
        <w:t>西安市生活垃圾分类服务中心</w:t>
      </w:r>
      <w:r>
        <w:rPr>
          <w:rFonts w:ascii="仿宋_GB2312" w:hAnsi="仿宋_GB2312" w:cs="仿宋_GB2312" w:eastAsia="仿宋_GB2312"/>
        </w:rPr>
        <w:t>委托，拟对</w:t>
      </w:r>
      <w:r>
        <w:rPr>
          <w:rFonts w:ascii="仿宋_GB2312" w:hAnsi="仿宋_GB2312" w:cs="仿宋_GB2312" w:eastAsia="仿宋_GB2312"/>
        </w:rPr>
        <w:t>垃圾分类理念知识普及</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SXZH-2026-075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垃圾分类理念知识普及</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垃圾分类理念知识普及。</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采购包1（垃圾分类理念知识普及）：属于专门面向中小企业采购。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西安市生活垃圾分类服务中心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西安市莲湖区太白北路320号华弘大厦4楼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029-89381575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陕西筑辉工程咨询有限公司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陕西省西安市雁塔区南二环东段22号凯森盛世1号B座2层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17392900503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采购包1：911,200.00元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的计算方法：以成交金额为基数，参考《招标代理服务收费管理暂行办法》（计价格【2002】1980号）及《关于降低部分建设项目收费标准规范收费行为等有关问题的通知》（发改价格[2011]534号）规定按标准下浮5%收取。 2、采购代理服务费可以采取现金、支票、银行汇票、电汇、网银等方式缴纳。 3、招标代理服务费缴纳信息： 银行户名：陕西筑辉工程咨询有限公司 开户银行：北京银行股份有限公司西安经济技术开发区支行 账 号：20000041418600030109571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西安市生活垃圾分类服务中心</w:t>
      </w:r>
      <w:r>
        <w:rPr>
          <w:rFonts w:ascii="仿宋_GB2312" w:hAnsi="仿宋_GB2312" w:cs="仿宋_GB2312" w:eastAsia="仿宋_GB2312"/>
        </w:rPr>
        <w:t>和</w:t>
      </w:r>
      <w:r>
        <w:rPr>
          <w:rFonts w:ascii="仿宋_GB2312" w:hAnsi="仿宋_GB2312" w:cs="仿宋_GB2312" w:eastAsia="仿宋_GB2312"/>
        </w:rPr>
        <w:t>陕西筑辉工程咨询有限公司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西安市生活垃圾分类服务中心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陕西筑辉工程咨询有限公司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西安市生活垃圾分类服务中心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陕西筑辉工程咨询有限公司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和成交供应商共同对项目进行整体验收。其内容包括是否按照采购人要求进行服务、是否在规定时间内服务完毕、服务工作是否存在失误。验收合格后，填写政府采购项目验收单作为对本服务的最终认可。服务商向采购人提供服务过程中的所有相关资料，以便采购人日后管理。验收依据为竞争性磋商文件、磋商响应文件、澄清表（函）、政府采购合同及附件文本、国家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陕西筑辉工程咨询有限公司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陕西筑辉工程咨询有限公司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陕西筑辉工程咨询有限公司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联系人：孙誉</w:t>
      </w:r>
    </w:p>
    <w:p>
      <w:pPr>
        <w:pStyle w:val="null3"/>
      </w:pPr>
      <w:r>
        <w:rPr>
          <w:rFonts w:ascii="仿宋_GB2312" w:hAnsi="仿宋_GB2312" w:cs="仿宋_GB2312" w:eastAsia="仿宋_GB2312"/>
        </w:rPr>
        <w:t>联系电话：17392900503</w:t>
      </w:r>
    </w:p>
    <w:p>
      <w:pPr>
        <w:pStyle w:val="null3"/>
      </w:pPr>
      <w:r>
        <w:rPr>
          <w:rFonts w:ascii="仿宋_GB2312" w:hAnsi="仿宋_GB2312" w:cs="仿宋_GB2312" w:eastAsia="仿宋_GB2312"/>
        </w:rPr>
        <w:t>地址：西安市雁塔区南二环东段22号（凯森盛世1号）B座2层</w:t>
      </w:r>
    </w:p>
    <w:p>
      <w:pPr>
        <w:pStyle w:val="null3"/>
      </w:pPr>
      <w:r>
        <w:rPr>
          <w:rFonts w:ascii="仿宋_GB2312" w:hAnsi="仿宋_GB2312" w:cs="仿宋_GB2312" w:eastAsia="仿宋_GB2312"/>
        </w:rPr>
        <w:t>邮编：710054</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线上、线下垃圾分类主题活动及知识普及。</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911,200.00</w:t>
      </w:r>
    </w:p>
    <w:p>
      <w:pPr>
        <w:pStyle w:val="null3"/>
      </w:pPr>
      <w:r>
        <w:rPr>
          <w:rFonts w:ascii="仿宋_GB2312" w:hAnsi="仿宋_GB2312" w:cs="仿宋_GB2312" w:eastAsia="仿宋_GB2312"/>
        </w:rPr>
        <w:t>采购包最高限价（元）: 911,200.00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垃圾分类理念知识普及</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911,200.00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标的名称：垃圾分类理念知识普及</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pPr>
            <w:r>
              <w:rPr>
                <w:rFonts w:ascii="仿宋_GB2312" w:hAnsi="仿宋_GB2312" w:cs="仿宋_GB2312" w:eastAsia="仿宋_GB2312"/>
              </w:rPr>
              <w:t>1.</w:t>
            </w:r>
            <w:r>
              <w:rPr>
                <w:rFonts w:ascii="仿宋_GB2312" w:hAnsi="仿宋_GB2312" w:cs="仿宋_GB2312" w:eastAsia="仿宋_GB2312"/>
              </w:rPr>
              <w:t>线上活动：策划、组织和实施</w:t>
            </w:r>
            <w:r>
              <w:rPr>
                <w:rFonts w:ascii="仿宋_GB2312" w:hAnsi="仿宋_GB2312" w:cs="仿宋_GB2312" w:eastAsia="仿宋_GB2312"/>
              </w:rPr>
              <w:t>2</w:t>
            </w:r>
            <w:r>
              <w:rPr>
                <w:rFonts w:ascii="仿宋_GB2312" w:hAnsi="仿宋_GB2312" w:cs="仿宋_GB2312" w:eastAsia="仿宋_GB2312"/>
              </w:rPr>
              <w:t>场线上面向公众参与的垃圾分类活动，通过媒体平台进行发布，以多元化宣传形式，普及生活垃圾分类理念知识。</w:t>
            </w:r>
          </w:p>
          <w:p>
            <w:pPr>
              <w:pStyle w:val="null3"/>
              <w:ind w:firstLine="400"/>
            </w:pPr>
            <w:r>
              <w:rPr>
                <w:rFonts w:ascii="仿宋_GB2312" w:hAnsi="仿宋_GB2312" w:cs="仿宋_GB2312" w:eastAsia="仿宋_GB2312"/>
              </w:rPr>
              <w:t>2.</w:t>
            </w:r>
            <w:r>
              <w:rPr>
                <w:rFonts w:ascii="仿宋_GB2312" w:hAnsi="仿宋_GB2312" w:cs="仿宋_GB2312" w:eastAsia="仿宋_GB2312"/>
              </w:rPr>
              <w:t>线下活动：策划、组织和实施不少于</w:t>
            </w:r>
            <w:r>
              <w:rPr>
                <w:rFonts w:ascii="仿宋_GB2312" w:hAnsi="仿宋_GB2312" w:cs="仿宋_GB2312" w:eastAsia="仿宋_GB2312"/>
              </w:rPr>
              <w:t>10</w:t>
            </w:r>
            <w:r>
              <w:rPr>
                <w:rFonts w:ascii="仿宋_GB2312" w:hAnsi="仿宋_GB2312" w:cs="仿宋_GB2312" w:eastAsia="仿宋_GB2312"/>
              </w:rPr>
              <w:t>场垃圾分类活动，包括但不限于启动仪式、进社区、进商超、可回收物和有害垃圾收集兑换等活动，通过寓教于乐的方式，提高市民生活垃圾分类知晓率和参与度。</w:t>
            </w:r>
          </w:p>
          <w:p>
            <w:pPr>
              <w:pStyle w:val="null3"/>
              <w:ind w:firstLine="400"/>
            </w:pPr>
            <w:r>
              <w:rPr>
                <w:rFonts w:ascii="仿宋_GB2312" w:hAnsi="仿宋_GB2312" w:cs="仿宋_GB2312" w:eastAsia="仿宋_GB2312"/>
              </w:rPr>
              <w:t>3.</w:t>
            </w:r>
            <w:r>
              <w:rPr>
                <w:rFonts w:ascii="仿宋_GB2312" w:hAnsi="仿宋_GB2312" w:cs="仿宋_GB2312" w:eastAsia="仿宋_GB2312"/>
              </w:rPr>
              <w:t>熟悉垃圾分类行业业务知识，具有相近行业的工作经验。</w:t>
            </w:r>
          </w:p>
          <w:p>
            <w:pPr>
              <w:pStyle w:val="null3"/>
              <w:ind w:firstLine="400"/>
            </w:pPr>
            <w:r>
              <w:rPr>
                <w:rFonts w:ascii="仿宋_GB2312" w:hAnsi="仿宋_GB2312" w:cs="仿宋_GB2312" w:eastAsia="仿宋_GB2312"/>
              </w:rPr>
              <w:t>4.</w:t>
            </w:r>
            <w:r>
              <w:rPr>
                <w:rFonts w:ascii="仿宋_GB2312" w:hAnsi="仿宋_GB2312" w:cs="仿宋_GB2312" w:eastAsia="仿宋_GB2312"/>
              </w:rPr>
              <w:t>拥有专业专职创作和表演团队及配套设备，可完成宣传视频拍摄、制作、剪辑和相关节目编排表演等全流程工作。</w:t>
            </w:r>
          </w:p>
          <w:p>
            <w:pPr>
              <w:pStyle w:val="null3"/>
              <w:ind w:firstLine="400"/>
            </w:pPr>
            <w:r>
              <w:rPr>
                <w:rFonts w:ascii="仿宋_GB2312" w:hAnsi="仿宋_GB2312" w:cs="仿宋_GB2312" w:eastAsia="仿宋_GB2312"/>
              </w:rPr>
              <w:t>5.</w:t>
            </w:r>
            <w:r>
              <w:rPr>
                <w:rFonts w:ascii="仿宋_GB2312" w:hAnsi="仿宋_GB2312" w:cs="仿宋_GB2312" w:eastAsia="仿宋_GB2312"/>
              </w:rPr>
              <w:t>熟悉媒体平台投放规则与推广机制，具备广告投放、流量运营、数据监测及效果复盘能力。</w:t>
            </w:r>
          </w:p>
          <w:p>
            <w:pPr>
              <w:pStyle w:val="null3"/>
              <w:ind w:firstLine="400"/>
            </w:pPr>
            <w:r>
              <w:rPr>
                <w:rFonts w:ascii="仿宋_GB2312" w:hAnsi="仿宋_GB2312" w:cs="仿宋_GB2312" w:eastAsia="仿宋_GB2312"/>
              </w:rPr>
              <w:t>6.</w:t>
            </w:r>
            <w:r>
              <w:rPr>
                <w:rFonts w:ascii="仿宋_GB2312" w:hAnsi="仿宋_GB2312" w:cs="仿宋_GB2312" w:eastAsia="仿宋_GB2312"/>
              </w:rPr>
              <w:t>具备内容合规审核把控及宣传素材优化迭代能力，确保投放内容合法合规、传播正向、贴合垃圾分类宣传主题。</w:t>
            </w:r>
          </w:p>
          <w:p>
            <w:pPr>
              <w:pStyle w:val="null3"/>
              <w:ind w:firstLine="400"/>
            </w:pPr>
            <w:r>
              <w:rPr>
                <w:rFonts w:ascii="仿宋_GB2312" w:hAnsi="仿宋_GB2312" w:cs="仿宋_GB2312" w:eastAsia="仿宋_GB2312"/>
                <w:sz w:val="21"/>
              </w:rPr>
              <w:t>7.</w:t>
            </w:r>
            <w:r>
              <w:rPr>
                <w:rFonts w:ascii="仿宋_GB2312" w:hAnsi="仿宋_GB2312" w:cs="仿宋_GB2312" w:eastAsia="仿宋_GB2312"/>
                <w:sz w:val="21"/>
              </w:rPr>
              <w:t>具备编写新闻通稿的人员，并通过市级主流媒体进行宣传报道。</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根据采购内容自行配置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根据采购内容自行配置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所属行业：其他未列明行业，其划分标准为从业人员300人以下的为中小微型企业。其中，从业人员100人及以上的为中型企业；从业人员10人及以上的为小型企业；从业人员10人以下的为微型企业。</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自合同签订之日起10日内完成项目方案策划、节目编排及相关物料制作，并提交甲方审核，审核通过后7日内开始实施，项目应于2026年10月30日前执行完毕。</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西安市生活垃圾分类服务中心甲方指定地点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和成交供应商共同对项目进行整体验收。其内容包括是否按照采购人要求进行服务、是否在规定时间内服务完毕、服务工作是否存在失误。验收合格后，填写政府采购项目验收单作为对本服务的最终认可。服务商向采购人提供服务过程中的所有相关资料，以便采购人日后管理。验收依据为竞争性磋商文件、磋商响应文件、澄清表（函）、政府采购合同及附件文本、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 签订合同后，达到付款条件起5个工作日内，支付合同总金额的50.0%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进度款，服务期限完成且无其他异议后，达到付款条件起5个工作日内，支付合同总金额的50.0%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1、乙方应按合同约定时间完成各阶段合同义务，若发生延迟，乙方应向甲方支付合同总价款10%的违约金，且甲方有权单方解除本合同。但甲方书面同意延迟或因甲方原因导致延迟的，乙方不承担违约责任。 2、如甲方未能在本合同约定时间内支付款项，每延迟一天，甲方须向乙方承担迟延支付费用的0.5‰作为违约金，并将服务周期予以相应顺延。 3、本次活动因乙方原因导致侵害甲方或第三方合法权益的，应由乙方承担相应赔偿责任，并向甲方支付合同总价款10%的违约金。 4、若乙方未经甲方同意泄露本合同约定的任何秘密信息的，乙方应按照合同总价款的10%向甲方支付违约金，并赔偿因此给甲方造成的损失。 5、乙方保证向甲方开具发票的真实性、合法性，若乙方向甲方开具的发票存在真实性、合法性问题，给甲方造成损失的，乙方应按合同总价款的10%向甲方支付违约金，违约金不足以弥补损失的，乙方还应承担相应赔偿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供应商在领取成交通知书前，须向采购代理机构提供纸质版响应文件3套，且提供的响应文件必须与在陕西省政府采购综合管理平台的项目电子化交易系统中递交的电子响应文件内容一致，纸质版响应文件必须装订成册签字盖章。 2.如磋商文件中融资相关内容与新政策要求有出入，按照最新要求执行。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2024或2025年度经审计的财务报告（包括“四表一注”，即资产负债表、利润表、现金流量表、所有者权益变动表（如有）及其附注，或者提供响应文件截止时间三个月内其基本账户开户银行出具的资信证明，或信用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资格要求证明文件.docx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2、报价货币符合磋商文件要求 ; 3、未超出采购预算或磋商文件规定的最高限价。</w:t>
            </w:r>
          </w:p>
        </w:tc>
        <w:tc>
          <w:tcPr>
            <w:tcW w:type="dxa" w:w="1661"/>
          </w:tcPr>
          <w:p>
            <w:pPr>
              <w:pStyle w:val="null3"/>
            </w:pPr>
            <w:r>
              <w:rPr>
                <w:rFonts w:ascii="仿宋_GB2312" w:hAnsi="仿宋_GB2312" w:cs="仿宋_GB2312" w:eastAsia="仿宋_GB2312"/>
              </w:rPr>
              <w:t>分项报价表.docx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与所投项目名称、项目编号一致，且符合磋商文件签署盖章要求。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商务技术偏离表.docx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项目总体分析</w:t>
            </w:r>
          </w:p>
        </w:tc>
        <w:tc>
          <w:tcPr>
            <w:tcW w:type="dxa" w:w="2492"/>
          </w:tcPr>
          <w:p>
            <w:pPr>
              <w:pStyle w:val="null3"/>
            </w:pPr>
            <w:r>
              <w:rPr>
                <w:rFonts w:ascii="仿宋_GB2312" w:hAnsi="仿宋_GB2312" w:cs="仿宋_GB2312" w:eastAsia="仿宋_GB2312"/>
              </w:rPr>
              <w:t>项目分析针对项目背景、可行性与必要性分析、目标分析等全面、准确、合理，计(7-10]分； 分析内容基本符合项目背景，较为合理，计(4-7]分；分析空洞、无实质内容，计[1-4]分。 未提供方案不得分。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服务方案清晰、对本项目垃圾分类宣传活动具有明确针对性，有详细的活动策划方案计(13-20]分； 方案较清晰，对本项目针对性一般，活动策划方案较详细，计(7-13]分； 方案空洞、无实质性内容，计[1-7]分。 未提供方案不得分。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重点、难点分析及应对措施</w:t>
            </w:r>
          </w:p>
        </w:tc>
        <w:tc>
          <w:tcPr>
            <w:tcW w:type="dxa" w:w="2492"/>
          </w:tcPr>
          <w:p>
            <w:pPr>
              <w:pStyle w:val="null3"/>
            </w:pPr>
            <w:r>
              <w:rPr>
                <w:rFonts w:ascii="仿宋_GB2312" w:hAnsi="仿宋_GB2312" w:cs="仿宋_GB2312" w:eastAsia="仿宋_GB2312"/>
              </w:rPr>
              <w:t>针对本项目开展存在的重点、难点分析准确、充分，提出针对性强、科学合理的应对措施，计(5-10分；对项目开展存在的重点、难点分析较薄弱、无实质性内容，计[1-5]分。 未提供方案不得分。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管理与保障措施</w:t>
            </w:r>
          </w:p>
        </w:tc>
        <w:tc>
          <w:tcPr>
            <w:tcW w:type="dxa" w:w="2492"/>
          </w:tcPr>
          <w:p>
            <w:pPr>
              <w:pStyle w:val="null3"/>
            </w:pPr>
            <w:r>
              <w:rPr>
                <w:rFonts w:ascii="仿宋_GB2312" w:hAnsi="仿宋_GB2312" w:cs="仿宋_GB2312" w:eastAsia="仿宋_GB2312"/>
              </w:rPr>
              <w:t>针对本项目的管理与保障措施全面、可行，能够保障项目顺利实施，计(5-10]分； 管理与保障措施较薄弱、无实质性内容，计[1-5]分。未提供方案不得分。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根据本项目采购需求提供拟投入人员配备（包括但不限于人员分工、岗位配备及职责。 人员分工明确得当、岗位配备及职责阐述全面详细的计（6-10分]； 人员分工较明确、岗位配备及职责阐述较详细的计（3-6分]； 人员分工不明确、岗位配备及职责阐述不全面的计[1-3分]； 未提供，或明显存在不合理性的不得分。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设施设备</w:t>
            </w:r>
          </w:p>
        </w:tc>
        <w:tc>
          <w:tcPr>
            <w:tcW w:type="dxa" w:w="2492"/>
          </w:tcPr>
          <w:p>
            <w:pPr>
              <w:pStyle w:val="null3"/>
            </w:pPr>
            <w:r>
              <w:rPr>
                <w:rFonts w:ascii="仿宋_GB2312" w:hAnsi="仿宋_GB2312" w:cs="仿宋_GB2312" w:eastAsia="仿宋_GB2312"/>
              </w:rPr>
              <w:t>根据本项目采购需求提供拟投入设备设施（包括但不限于设备设施列表、设备设施照片发票等相关证明材料）。 设备设施列表齐全、证明材料完整得（7-10分]； 设备设施列表较齐全、证明材料不全得（4-7分]； 设备设施列表不全、证明材料不全得[1-4分]； 未提供证明材料不得分。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针对本项目具有详细科学的合理化建议。 合理化建议详细、针对性强得（5-10分]； 合理化建议内容简单不全得[1-5分]；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供应商具有近三年（2023年1月1 日至今，以合同签订时间为准）的类似主题活动项目业绩，每提供一个得2分, 最高得10分。注：供应商响应文件中提供合同复印件加盖公章。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业绩相关证明材料.docx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详见附件：商务技术偏离表.docx</w:t>
      </w:r>
    </w:p>
    <w:p>
      <w:pPr>
        <w:pStyle w:val="null3"/>
        <w:ind w:firstLine="960"/>
      </w:pPr>
      <w:r>
        <w:rPr>
          <w:rFonts w:ascii="仿宋_GB2312" w:hAnsi="仿宋_GB2312" w:cs="仿宋_GB2312" w:eastAsia="仿宋_GB2312"/>
        </w:rPr>
        <w:t>详见附件：业绩相关证明材料.docx</w:t>
      </w:r>
    </w:p>
    <w:p>
      <w:pPr>
        <w:pStyle w:val="null3"/>
        <w:ind w:firstLine="960"/>
      </w:pPr>
      <w:r>
        <w:rPr>
          <w:rFonts w:ascii="仿宋_GB2312" w:hAnsi="仿宋_GB2312" w:cs="仿宋_GB2312" w:eastAsia="仿宋_GB2312"/>
        </w:rPr>
        <w:t>详见附件：资格要求证明文件.docx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