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645527">
      <w:pPr>
        <w:adjustRightInd w:val="0"/>
        <w:snapToGrid w:val="0"/>
        <w:spacing w:line="360" w:lineRule="auto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一、服务要求</w:t>
      </w:r>
    </w:p>
    <w:p w14:paraId="5D1F25EF">
      <w:pPr>
        <w:adjustRightInd w:val="0"/>
        <w:snapToGrid w:val="0"/>
        <w:spacing w:line="360" w:lineRule="auto"/>
        <w:ind w:firstLine="422" w:firstLineChars="200"/>
        <w:rPr>
          <w:rFonts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（一）人员管理要求</w:t>
      </w:r>
    </w:p>
    <w:p w14:paraId="500885E3"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1.中标人须按投标文件承诺配置足额、稳定的服务团队，明确项目负责人、核心技术人员的岗位职责、从业资质及工作经验要求。项目负责人及核心人员未经采购人书面同意，不得擅自更换；擅自更换核心人员的，采购人有权按合同约定追究违约责任。</w:t>
      </w:r>
    </w:p>
    <w:p w14:paraId="7E4DF1CA"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2.服务人员须具备完成本项目服务所需的专业资质、从业资格证书（国家有强制性规定的，须持证上岗），无违法违规、行业失信等不良记录。中标人须在服务启动前，向采购人提交全部服务人员的资质证明、社保缴纳证明等相关材料。</w:t>
      </w:r>
    </w:p>
    <w:p w14:paraId="03256091"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3.服务人员在服务期间须严格遵守工作保密要求。</w:t>
      </w:r>
    </w:p>
    <w:p w14:paraId="3F96F957">
      <w:pPr>
        <w:adjustRightInd w:val="0"/>
        <w:snapToGrid w:val="0"/>
        <w:spacing w:line="360" w:lineRule="auto"/>
        <w:ind w:firstLine="422" w:firstLineChars="200"/>
        <w:rPr>
          <w:rFonts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（二）服务实施要求</w:t>
      </w:r>
    </w:p>
    <w:p w14:paraId="279C1C6E"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1.中标人须严格按照国家法律法规、行业规范、采购文件要求及投标文件承诺，制定详细的服务实施方案、工作计划、质量管控体系，按约定的服务范围、服务标准、服务周期完成全部服务内容，确保服务质量达到采购人要求。</w:t>
      </w:r>
    </w:p>
    <w:p w14:paraId="2BC454D7"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2.中标人须建立常态化的服务沟通机制，指定专人作为日常对接人，定期向采购人报送服务进度、工作成果、问题整改情况等相关材料，接受采购人的日常监督、检查与考核。</w:t>
      </w:r>
    </w:p>
    <w:p w14:paraId="77BC093F"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3.服务过程中产生的全部成果文件、数据资料、报告方案等，须按约定的时间、格式、份数交付采购人，成果交付前须经采购人审核确认，未达到要求的，须在采购人指定时限内无偿修改、完善，直至符合验收标准。</w:t>
      </w:r>
    </w:p>
    <w:p w14:paraId="2B2EABFF">
      <w:pPr>
        <w:adjustRightInd w:val="0"/>
        <w:snapToGrid w:val="0"/>
        <w:spacing w:line="360" w:lineRule="auto"/>
        <w:ind w:firstLine="422" w:firstLineChars="200"/>
        <w:rPr>
          <w:rFonts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（三）应急保障要求</w:t>
      </w:r>
    </w:p>
    <w:p w14:paraId="5F0E9535"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1.中标人须针对本项目服务特点，制定完善的应急预案，明确应急响应流程、处置措施、责任人员及保障资源，应对突发情况、紧急服务需求、服务中断等各类应急场景。</w:t>
      </w:r>
    </w:p>
    <w:p w14:paraId="04CABF09"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2.应急响应时间要求：</w:t>
      </w:r>
      <w:r>
        <w:rPr>
          <w:rFonts w:hint="eastAsia" w:ascii="仿宋" w:hAnsi="仿宋" w:eastAsia="仿宋" w:cs="仿宋"/>
          <w:b/>
          <w:bCs/>
          <w:szCs w:val="21"/>
        </w:rPr>
        <w:t>★服务期内提供7×24小时应急响应，接到采购人应急通知后，须在30分钟内给出响应解决方案。</w:t>
      </w:r>
    </w:p>
    <w:p w14:paraId="3CA4BA7B"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3.因应急处置不及时、不到位造成采购人损失的，全部由中标人承担赔偿责任。</w:t>
      </w:r>
    </w:p>
    <w:p w14:paraId="5083DAB8">
      <w:pPr>
        <w:adjustRightInd w:val="0"/>
        <w:snapToGrid w:val="0"/>
        <w:spacing w:line="360" w:lineRule="auto"/>
        <w:ind w:firstLine="422" w:firstLineChars="200"/>
        <w:rPr>
          <w:rFonts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（四）保密要求</w:t>
      </w:r>
    </w:p>
    <w:p w14:paraId="56159A39"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1.中标人须对服务过程中接触、知悉的工作秘密、商业秘密、教学科研数据、师生个人信息、项目资料等全部未公开信息承担严格的保密责任。</w:t>
      </w:r>
    </w:p>
    <w:p w14:paraId="251AD776"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2.未经采购人书面同意，中标人不得向任何第三方泄露、传播、复制、使用上述保密信息，不得将保密信息用于本项目以外的任何用途。保密义务在服务期结束后持续有效，直至相关信息公开为止。</w:t>
      </w:r>
    </w:p>
    <w:p w14:paraId="3CC4D6D7"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3.若发生泄密事件，中标人须立即采取补救措施，并承担由此造成的全部法律责任及经济损失，采购人有权单方解除合同，没收履约保证金，并追究中标人相应违约责任。</w:t>
      </w:r>
    </w:p>
    <w:p w14:paraId="32E74ECD">
      <w:pPr>
        <w:adjustRightInd w:val="0"/>
        <w:snapToGrid w:val="0"/>
        <w:spacing w:line="360" w:lineRule="auto"/>
        <w:ind w:firstLine="422" w:firstLineChars="2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（五）知识产权要求</w:t>
      </w:r>
    </w:p>
    <w:p w14:paraId="669836CC"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1.中标人须保证其提供的服务、交付的成果文件，不存在侵犯任何第三方知识产权、肖像权、名誉权等合法权益的情形。若因此产生任何纠纷、索赔或诉讼，全部由中标人负责处理，并承担由此产生的全部责任及费用，给采购人造成损失的，须全额赔偿。</w:t>
      </w:r>
    </w:p>
    <w:p w14:paraId="54614658"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2.未经甲方同意，乙方不得擅自将咨询成果提供给第三方使用，否则，由此发生的损失和法律责任由乙方承担。</w:t>
      </w:r>
      <w:r>
        <w:rPr>
          <w:rFonts w:hint="eastAsia" w:ascii="仿宋" w:hAnsi="仿宋" w:eastAsia="仿宋" w:cs="仿宋"/>
          <w:szCs w:val="21"/>
          <w:lang w:val="en-US" w:eastAsia="zh-CN"/>
        </w:rPr>
        <w:t>双方均应遵守《中华人民共和国保守国家秘密法》和其他相关规定，</w:t>
      </w:r>
      <w:r>
        <w:rPr>
          <w:rFonts w:hint="eastAsia" w:ascii="仿宋" w:hAnsi="仿宋" w:eastAsia="仿宋" w:cs="仿宋"/>
          <w:szCs w:val="21"/>
        </w:rPr>
        <w:t>妥善保管对方提供的资料，保守对方的各项秘密，保护对方的知识产权;未经对方许可，不得利用知悉的对方资料和成果为自己或第三方谋取利益。</w:t>
      </w:r>
    </w:p>
    <w:p w14:paraId="0CE73CBE"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二、商务要求</w:t>
      </w:r>
    </w:p>
    <w:p w14:paraId="7661FAE6">
      <w:pPr>
        <w:adjustRightInd w:val="0"/>
        <w:snapToGrid w:val="0"/>
        <w:spacing w:line="360" w:lineRule="auto"/>
        <w:ind w:firstLine="422" w:firstLineChars="200"/>
        <w:rPr>
          <w:rFonts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（一）服务期限：</w:t>
      </w:r>
    </w:p>
    <w:p w14:paraId="0EBDDAD9"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  <w:highlight w:val="yellow"/>
        </w:rPr>
      </w:pPr>
      <w:r>
        <w:rPr>
          <w:rFonts w:hint="eastAsia" w:ascii="仿宋" w:hAnsi="仿宋" w:eastAsia="仿宋" w:cs="仿宋"/>
          <w:szCs w:val="21"/>
        </w:rPr>
        <w:t>自合同签订之日起</w:t>
      </w:r>
      <w:r>
        <w:rPr>
          <w:rFonts w:hint="eastAsia" w:ascii="仿宋" w:hAnsi="仿宋" w:eastAsia="仿宋" w:cs="仿宋"/>
          <w:szCs w:val="21"/>
          <w:lang w:val="en-US" w:eastAsia="zh-CN"/>
        </w:rPr>
        <w:t>12个月</w:t>
      </w:r>
      <w:r>
        <w:rPr>
          <w:rFonts w:hint="eastAsia" w:ascii="仿宋" w:hAnsi="仿宋" w:eastAsia="仿宋" w:cs="仿宋"/>
          <w:szCs w:val="21"/>
        </w:rPr>
        <w:t>。</w:t>
      </w:r>
    </w:p>
    <w:p w14:paraId="0B538C12"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szCs w:val="21"/>
        </w:rPr>
        <w:t>中标人未按合同约定的服务节点、服务期限完成服务内容或交付成果的，每逾期一日，向采购人支付合同总金额0.1%的违约金，违约金累计不超过合同总金额的10%。中标人支付逾期违约金并不免除其继续履行服务的义务。如中标人在合同约定的最终交付期限后15个工作日内仍未能完成全部服务内容并交付合格成果，则视为中标人不能履约，采购人有权解除合同，中标人除退还已收取的全部款项外，还应向采购人偿付合同总金额10%的违约金。如中标人存在恶意违约情形（如虚假履约、伪造成果、擅自转包分包、故意拖延履行等），</w:t>
      </w:r>
      <w:r>
        <w:rPr>
          <w:rFonts w:hint="eastAsia" w:ascii="仿宋" w:hAnsi="仿宋" w:eastAsia="仿宋" w:cs="仿宋"/>
          <w:bCs/>
          <w:szCs w:val="21"/>
        </w:rPr>
        <w:t>采购人有权要求中标人支付合同总金额20%的违约金，上述违约金不超过合同总额。</w:t>
      </w:r>
    </w:p>
    <w:p w14:paraId="1429BC29">
      <w:pPr>
        <w:adjustRightInd w:val="0"/>
        <w:snapToGrid w:val="0"/>
        <w:spacing w:line="360" w:lineRule="auto"/>
        <w:ind w:firstLine="422" w:firstLineChars="200"/>
        <w:rPr>
          <w:rFonts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（二）履约保证金</w:t>
      </w:r>
    </w:p>
    <w:p w14:paraId="6B7A0253">
      <w:pPr>
        <w:spacing w:line="360" w:lineRule="auto"/>
        <w:ind w:firstLine="420" w:firstLineChars="200"/>
        <w:rPr>
          <w:rFonts w:ascii="仿宋" w:hAnsi="仿宋" w:eastAsia="仿宋" w:cs="仿宋"/>
          <w:color w:val="FF0000"/>
          <w:szCs w:val="21"/>
        </w:rPr>
      </w:pPr>
      <w:r>
        <w:rPr>
          <w:rFonts w:hint="eastAsia" w:ascii="仿宋" w:hAnsi="仿宋" w:eastAsia="仿宋" w:cs="仿宋"/>
          <w:szCs w:val="21"/>
        </w:rPr>
        <w:t>合同签订前，乙方向甲方支付合同总价的5%作为履约保证金，可通过</w:t>
      </w:r>
      <w:r>
        <w:rPr>
          <w:rFonts w:hint="eastAsia" w:ascii="仿宋" w:hAnsi="仿宋" w:eastAsia="仿宋" w:cs="仿宋"/>
          <w:color w:val="000000" w:themeColor="text1"/>
          <w:szCs w:val="21"/>
          <w14:textFill>
            <w14:solidFill>
              <w14:schemeClr w14:val="tx1"/>
            </w14:solidFill>
          </w14:textFill>
        </w:rPr>
        <w:t>保函等非现金形式缴纳，</w:t>
      </w:r>
      <w:r>
        <w:rPr>
          <w:rFonts w:hint="eastAsia" w:ascii="仿宋" w:hAnsi="仿宋" w:eastAsia="仿宋" w:cs="仿宋"/>
          <w:szCs w:val="21"/>
        </w:rPr>
        <w:t>在乙方全部履行完毕合同约定的服务及其他义务，且经甲方使用单位确认乙方服务及服务成果验收合格并对服务质量、合同履行无争议后，甲方一次性无息退还乙方剩余履约保证金。</w:t>
      </w:r>
      <w:r>
        <w:rPr>
          <w:rFonts w:hint="eastAsia" w:ascii="仿宋" w:hAnsi="仿宋" w:eastAsia="仿宋" w:cs="仿宋"/>
          <w:vanish/>
          <w:color w:val="FF0000"/>
          <w:szCs w:val="21"/>
        </w:rPr>
        <w:cr/>
      </w:r>
      <w:r>
        <w:rPr>
          <w:rFonts w:hint="eastAsia" w:ascii="仿宋" w:hAnsi="仿宋" w:eastAsia="仿宋" w:cs="仿宋"/>
          <w:vanish/>
          <w:color w:val="FF0000"/>
          <w:szCs w:val="21"/>
        </w:rPr>
        <w:t>柒%5</w:t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  <w:r>
        <w:rPr>
          <w:rFonts w:hint="eastAsia" w:ascii="仿宋" w:hAnsi="仿宋" w:eastAsia="仿宋" w:cs="仿宋"/>
          <w:vanish/>
          <w:color w:val="FF0000"/>
          <w:szCs w:val="21"/>
        </w:rPr>
        <w:pgNum/>
      </w:r>
    </w:p>
    <w:p w14:paraId="0FE4C58D">
      <w:pPr>
        <w:adjustRightInd w:val="0"/>
        <w:snapToGrid w:val="0"/>
        <w:spacing w:line="360" w:lineRule="auto"/>
        <w:ind w:firstLine="422" w:firstLineChars="200"/>
        <w:rPr>
          <w:rFonts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（三）资金支付：</w:t>
      </w:r>
    </w:p>
    <w:p w14:paraId="120D5C10"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 w:cs="仿宋"/>
          <w:bCs/>
          <w:szCs w:val="21"/>
        </w:rPr>
      </w:pPr>
      <w:r>
        <w:rPr>
          <w:rFonts w:hint="eastAsia" w:ascii="仿宋" w:hAnsi="仿宋" w:eastAsia="仿宋" w:cs="仿宋"/>
          <w:bCs/>
          <w:szCs w:val="21"/>
        </w:rPr>
        <w:t>本项目采用银行转账方式支付，结算时中标人须向采购人出具合法有效的增值税专用发票，具体支付节点如下：</w:t>
      </w:r>
    </w:p>
    <w:p w14:paraId="51AFEB47">
      <w:pPr>
        <w:spacing w:line="360" w:lineRule="auto"/>
        <w:ind w:firstLine="420" w:firstLineChars="2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第一次付款：合同签订之日起7天内，甲方向乙方支付合同总额的30%；</w:t>
      </w:r>
    </w:p>
    <w:p w14:paraId="29994428">
      <w:pPr>
        <w:spacing w:line="360" w:lineRule="auto"/>
        <w:ind w:firstLine="420" w:firstLineChars="2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 xml:space="preserve">第二次付款：通过陕西省评审中心专家评审后，甲方向乙方支付合同总额的50%。 </w:t>
      </w:r>
    </w:p>
    <w:p w14:paraId="7064B136">
      <w:pPr>
        <w:spacing w:line="360" w:lineRule="auto"/>
        <w:ind w:firstLine="420" w:firstLineChars="2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第三次付款：国家发改委评估通过，甲方向乙方支付合同总额的20%。</w:t>
      </w:r>
    </w:p>
    <w:p w14:paraId="65616B68">
      <w:pPr>
        <w:adjustRightInd w:val="0"/>
        <w:snapToGrid w:val="0"/>
        <w:spacing w:line="360" w:lineRule="auto"/>
        <w:ind w:firstLine="422" w:firstLineChars="200"/>
        <w:rPr>
          <w:rFonts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（四）服务保障与售后要求：</w:t>
      </w:r>
    </w:p>
    <w:p w14:paraId="1C669C61"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1.服务质量保障期（质保期）：自项目最终验收合格之日起6个月。保障期内，中标人须对交付的成果提供免费的修改、完善、更新、技术支持、咨询答疑等服务，确保成果符合采购人使用需求，采购人不承担任何额外费用。</w:t>
      </w:r>
    </w:p>
    <w:p w14:paraId="13F420FD"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2.保障期内服务响应要求：7*24即时响应（包括电话响应）；，电话响应无法解决的，24小时内指派专人对接处理，48小时内完成成果修改、问题整改，确保满足采购人使用要求。</w:t>
      </w:r>
    </w:p>
    <w:p w14:paraId="171F54D1"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3.培训要求：中标人须按采购人要求，免费提供针对相关内容的培训服务。</w:t>
      </w:r>
    </w:p>
    <w:p w14:paraId="6DA5CDF7">
      <w:pPr>
        <w:adjustRightInd w:val="0"/>
        <w:snapToGrid w:val="0"/>
        <w:spacing w:line="360" w:lineRule="auto"/>
        <w:ind w:firstLine="422" w:firstLineChars="200"/>
        <w:rPr>
          <w:rFonts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（五）验收要求：</w:t>
      </w:r>
    </w:p>
    <w:p w14:paraId="73DA8BEB"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  <w:lang w:val="en-US" w:eastAsia="zh-CN"/>
        </w:rPr>
        <w:t>初次验收</w:t>
      </w:r>
      <w:r>
        <w:rPr>
          <w:rFonts w:hint="eastAsia" w:ascii="仿宋" w:hAnsi="仿宋" w:eastAsia="仿宋" w:cs="仿宋"/>
          <w:szCs w:val="21"/>
        </w:rPr>
        <w:t>以通过陕西省评审中心专家评审为准，</w:t>
      </w:r>
      <w:r>
        <w:rPr>
          <w:rFonts w:hint="eastAsia" w:ascii="仿宋" w:hAnsi="仿宋" w:eastAsia="仿宋" w:cs="仿宋"/>
          <w:szCs w:val="21"/>
          <w:lang w:val="en-US" w:eastAsia="zh-CN"/>
        </w:rPr>
        <w:t>最终验收以</w:t>
      </w:r>
      <w:r>
        <w:rPr>
          <w:rFonts w:hint="eastAsia" w:ascii="仿宋" w:hAnsi="仿宋" w:eastAsia="仿宋" w:cs="仿宋"/>
          <w:szCs w:val="21"/>
        </w:rPr>
        <w:t>国家发改委评估通过</w:t>
      </w:r>
      <w:r>
        <w:rPr>
          <w:rFonts w:hint="eastAsia" w:ascii="仿宋" w:hAnsi="仿宋" w:eastAsia="仿宋" w:cs="仿宋"/>
          <w:szCs w:val="21"/>
          <w:lang w:val="en-US" w:eastAsia="zh-CN"/>
        </w:rPr>
        <w:t>为准，</w:t>
      </w:r>
      <w:r>
        <w:rPr>
          <w:rFonts w:hint="eastAsia" w:ascii="仿宋" w:hAnsi="仿宋" w:eastAsia="仿宋" w:cs="仿宋"/>
          <w:szCs w:val="21"/>
        </w:rPr>
        <w:t>验收依据为国家相关法律法规、行业规范、采购文件、投标文件、服务合同、成果交付要求及服务质量考核标准。</w:t>
      </w:r>
    </w:p>
    <w:p w14:paraId="696B7E6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4ZmY1ODQzYmU0MjFhYjU4YTRmN2U3NGFiNmY1YWQifQ=="/>
  </w:docVars>
  <w:rsids>
    <w:rsidRoot w:val="00000000"/>
    <w:rsid w:val="7FA23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Arial Unicode MS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2026-06-08T07:38:46Z</dcterms:created>
  <dc:creator>Administrator</dc:creator>
  <cp:lastModifiedBy>WPS_1643244802</cp:lastModifiedBy>
  <dcterms:modified xsi:type="dcterms:W3CDTF">2026-06-08T07:38:52Z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82C5F91D940A4B539C98F67D11823E9F_12</vt:lpwstr>
  </property>
</Properties>
</file>