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版本号：SXZHZB2026-ZC055-CS.1B220260901001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2026年后勤服务外包项目(三次)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SXZHZB2026-ZC055-CS.1B2</w:t>
      </w:r>
      <w:r>
        <w:br/>
      </w:r>
      <w:r>
        <w:br/>
      </w:r>
      <w:r>
        <w:br/>
      </w:r>
    </w:p>
    <w:p>
      <w:pPr>
        <w:pStyle w:val="null3"/>
        <w:jc w:val="center"/>
        <w:outlineLvl w:val="2"/>
      </w:pPr>
      <w:r>
        <w:rPr>
          <w:rFonts w:ascii="仿宋_GB2312" w:hAnsi="仿宋_GB2312" w:cs="仿宋_GB2312" w:eastAsia="仿宋_GB2312"/>
          <w:sz w:val="28"/>
          <w:b/>
        </w:rPr>
        <w:t>西安高新区第六十幼儿园</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西安高新区第六十幼儿园</w:t>
      </w:r>
      <w:r>
        <w:rPr>
          <w:rFonts w:ascii="仿宋_GB2312" w:hAnsi="仿宋_GB2312" w:cs="仿宋_GB2312" w:eastAsia="仿宋_GB2312"/>
        </w:rPr>
        <w:t>委托，拟对</w:t>
      </w:r>
      <w:r>
        <w:rPr>
          <w:rFonts w:ascii="仿宋_GB2312" w:hAnsi="仿宋_GB2312" w:cs="仿宋_GB2312" w:eastAsia="仿宋_GB2312"/>
        </w:rPr>
        <w:t>2026年后勤服务外包项目(三次)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SXZHZB2026-ZC055-CS.1B2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2026年后勤服务外包项目(三次)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2026年后勤服务外包项目，需要后勤岗位人员共计8人。服务范围涵盖保洁服务、安保服务、综合维修等。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西安高新区第六十幼儿园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西安市雁塔区科技八路104号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029-87300205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代理服务费收费标准：1、代理服务费收费标准：以成交金额为基数，参照国家计委颁发的《招标代理服务收费管理暂行办法》（计价格〔2002〕1980号）和财政部颁发的《政府采购代理机构管理暂行办法》 （财库〔2018〕2号）的有关规定执行，不足1万元，按1万元收取。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西安高新区第六十幼儿园</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西安高新区第六十幼儿园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西安高新区第六十幼儿园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2026年后勤服务外包项目，需要后勤岗位人员共计8人。服务范围涵盖保洁服务、安保服务、综合维修等。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336,000.00</w:t>
      </w:r>
    </w:p>
    <w:p>
      <w:pPr>
        <w:pStyle w:val="null3"/>
      </w:pPr>
      <w:r>
        <w:rPr>
          <w:rFonts w:ascii="仿宋_GB2312" w:hAnsi="仿宋_GB2312" w:cs="仿宋_GB2312" w:eastAsia="仿宋_GB2312"/>
        </w:rPr>
        <w:t>采购包最高限价（元）: 336,000.00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西安市高新区第六十幼儿园后勤服务外包项目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标的名称：西安市高新区第六十幼儿园后勤服务外包项目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11"/>
              <w:jc w:val="left"/>
            </w:pPr>
            <w:r>
              <w:rPr>
                <w:rFonts w:ascii="仿宋_GB2312" w:hAnsi="仿宋_GB2312" w:cs="仿宋_GB2312" w:eastAsia="仿宋_GB2312"/>
              </w:rPr>
              <w:t>人员配置要求</w:t>
            </w:r>
          </w:p>
          <w:p>
            <w:pPr>
              <w:pStyle w:val="null3"/>
            </w:pPr>
            <w:r>
              <w:rPr>
                <w:rFonts w:ascii="仿宋_GB2312" w:hAnsi="仿宋_GB2312" w:cs="仿宋_GB2312" w:eastAsia="仿宋_GB2312"/>
              </w:rPr>
              <w:t>1、保安岗（3人）：派驻园区的保安人员年龄≦50岁，均应持有保安证；派驻保安员需配置制式的保安服装、标识及必要的执勤装备；负责园所门禁管理、日常巡逻、安全监控、突发事件初步处理等；</w:t>
            </w:r>
          </w:p>
          <w:p>
            <w:pPr>
              <w:pStyle w:val="null3"/>
            </w:pPr>
            <w:r>
              <w:rPr>
                <w:rFonts w:ascii="仿宋_GB2312" w:hAnsi="仿宋_GB2312" w:cs="仿宋_GB2312" w:eastAsia="仿宋_GB2312"/>
              </w:rPr>
              <w:t>2、保洁岗（4人）：负责园区公共区域、教室、卫生间等日常清洁与消毒工作；</w:t>
            </w:r>
          </w:p>
          <w:p>
            <w:pPr>
              <w:pStyle w:val="null3"/>
            </w:pPr>
            <w:r>
              <w:rPr>
                <w:rFonts w:ascii="仿宋_GB2312" w:hAnsi="仿宋_GB2312" w:cs="仿宋_GB2312" w:eastAsia="仿宋_GB2312"/>
              </w:rPr>
              <w:t>3、维修岗（1人）：负责院内设施设备日常维护、保修处理及小型维修，须具备电工证。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19"/>
              <w:jc w:val="left"/>
            </w:pPr>
            <w:r>
              <w:rPr>
                <w:rFonts w:ascii="仿宋_GB2312" w:hAnsi="仿宋_GB2312" w:cs="仿宋_GB2312" w:eastAsia="仿宋_GB2312"/>
              </w:rPr>
              <w:t>服务标准与管理要求</w:t>
            </w:r>
          </w:p>
          <w:p>
            <w:pPr>
              <w:pStyle w:val="null3"/>
            </w:pPr>
            <w:r>
              <w:rPr>
                <w:rFonts w:ascii="仿宋_GB2312" w:hAnsi="仿宋_GB2312" w:cs="仿宋_GB2312" w:eastAsia="仿宋_GB2312"/>
              </w:rPr>
              <w:t>1、供应商须为所有人员缴纳社会保险，并定期组织岗位培训与安全教育；</w:t>
            </w:r>
          </w:p>
          <w:p>
            <w:pPr>
              <w:pStyle w:val="null3"/>
            </w:pPr>
            <w:r>
              <w:rPr>
                <w:rFonts w:ascii="仿宋_GB2312" w:hAnsi="仿宋_GB2312" w:cs="仿宋_GB2312" w:eastAsia="仿宋_GB2312"/>
              </w:rPr>
              <w:t>2、供应商须建立完善的管理制度，包括考勤、考核、应急预案等；</w:t>
            </w:r>
          </w:p>
          <w:p>
            <w:pPr>
              <w:pStyle w:val="null3"/>
            </w:pPr>
            <w:r>
              <w:rPr>
                <w:rFonts w:ascii="仿宋_GB2312" w:hAnsi="仿宋_GB2312" w:cs="仿宋_GB2312" w:eastAsia="仿宋_GB2312"/>
              </w:rPr>
              <w:t>3、服务期间须遵守园所各项规章制度，服从园方统一管理与调度。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219"/>
              <w:jc w:val="left"/>
            </w:pPr>
            <w:r>
              <w:rPr>
                <w:rFonts w:ascii="仿宋_GB2312" w:hAnsi="仿宋_GB2312" w:cs="仿宋_GB2312" w:eastAsia="仿宋_GB2312"/>
              </w:rPr>
              <w:t>其他要求</w:t>
            </w:r>
          </w:p>
          <w:p>
            <w:pPr>
              <w:pStyle w:val="null3"/>
            </w:pPr>
            <w:r>
              <w:rPr>
                <w:rFonts w:ascii="仿宋_GB2312" w:hAnsi="仿宋_GB2312" w:cs="仿宋_GB2312" w:eastAsia="仿宋_GB2312"/>
              </w:rPr>
              <w:t>1、设立专人对接机制，指定项目经理长期跟踪服务，保持通讯畅通，及时沟通协调；</w:t>
            </w:r>
          </w:p>
          <w:p>
            <w:pPr>
              <w:pStyle w:val="null3"/>
            </w:pPr>
            <w:r>
              <w:rPr>
                <w:rFonts w:ascii="仿宋_GB2312" w:hAnsi="仿宋_GB2312" w:cs="仿宋_GB2312" w:eastAsia="仿宋_GB2312"/>
              </w:rPr>
              <w:t>2、服务期如因人员变动或服务不达标，须在3个工作日内完成调整或更换；</w:t>
            </w:r>
          </w:p>
          <w:p>
            <w:pPr>
              <w:pStyle w:val="null3"/>
            </w:pPr>
            <w:r>
              <w:rPr>
                <w:rFonts w:ascii="仿宋_GB2312" w:hAnsi="仿宋_GB2312" w:cs="仿宋_GB2312" w:eastAsia="仿宋_GB2312"/>
              </w:rPr>
              <w:t>3、供应商须配合园方完成相关行政备案及人员无犯罪记录审查；</w:t>
            </w:r>
          </w:p>
          <w:p>
            <w:pPr>
              <w:pStyle w:val="null3"/>
            </w:pPr>
            <w:r>
              <w:rPr>
                <w:rFonts w:ascii="仿宋_GB2312" w:hAnsi="仿宋_GB2312" w:cs="仿宋_GB2312" w:eastAsia="仿宋_GB2312"/>
              </w:rPr>
              <w:t>4、服务合同期内不得擅自转包或分包服务内容；</w:t>
            </w:r>
          </w:p>
          <w:p>
            <w:pPr>
              <w:pStyle w:val="null3"/>
            </w:pPr>
            <w:r>
              <w:rPr>
                <w:rFonts w:ascii="仿宋_GB2312" w:hAnsi="仿宋_GB2312" w:cs="仿宋_GB2312" w:eastAsia="仿宋_GB2312"/>
              </w:rPr>
              <w:t>5、具备完成园方临时性、紧急性工作任务的能力，并按要求及时响应落实。</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服务质量：合格，满足采购人要求。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西安高新区第六十幼儿园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验收以本合同及附加文本，磋商文件、成交供应商的响应文件及澄清（承诺函），国家相应的标准、规范为依据。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进度款，服务费按季度结算，每季度经园区考核合格后支付该季度服务费用，达到付款条件起30个工作日内，支付合同总金额的25.0%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进度款，服务费按季度结算，每季度经园区考核合格后支付该季度服务费用，达到付款条件起30个工作日内，支付合同总金额的25.0%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进度款，服务费按季度结算，每季度经园区考核合格后支付该季度服务费用，达到付款条件起30个工作日内，支付合同总金额的25.0%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进度款，服务费按季度结算，每季度经园区考核合格后支付该季度服务费用，达到付款条件起30个工作日内，支付合同总金额的25.0%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工费（含工资、人工费、社保、降温费、高温津贴、取暖费、慰问、体检等所有福利待遇）、耗材工具费、管理费、不可预见费用、利润、税金等其他一切相关费用。任何有选择的报价将不予接受，否则按无效磋商处理。 （2）项目属性：服务。 （3）本项目所属行业为：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（6）若为授权代表参加投标，响应文件中需提供被授权代表开标前三个月内任意一个月在本单位的社保缴纳证明。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标的清单 陕西省政府采购供应商拒绝政府采购领域商业贿赂承诺书 其他说明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内容至少包括① 服务目标；②服务计划；③公司内控管理制度（规章制度、组织架构及管理理念）；④日常档案资料管理制度等。 二、评审标准： 1、完整性：方案必须全面，对评审内容有详细描述； 2、可实施性：切合本项目实际情况，提出步骤清晰、合理的方案； 3、针对性：方案能够紧扣项目实际情况，内容科学合理。 三、赋分标准： ①服务目标：每完全满足一个评审标准得1分，有瑕疵得0.5分，有缺项漏项得0分。满分3分； ②服务计划：每完全满足一个评审标准得1分，有瑕疵得0.5分，有缺项漏项得0分。满分3分； ③公司内控管理制度（规章制度、组织架构及管理理念）：每完全满足一个评审标准得1分，有瑕疵得0.5分，有缺项漏项得0分。满分3分； ④日常档案资料管理制度：每完全满足一个评审标准得1分，有瑕疵得0.5分，有缺项漏项得0分。满分3分。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安全巡逻及清洁管理服务方案</w:t>
            </w:r>
          </w:p>
        </w:tc>
        <w:tc>
          <w:tcPr>
            <w:tcW w:type="dxa" w:w="2492"/>
          </w:tcPr>
          <w:p>
            <w:pPr>
              <w:pStyle w:val="null3"/>
            </w:pPr>
            <w:r>
              <w:rPr>
                <w:rFonts w:ascii="仿宋_GB2312" w:hAnsi="仿宋_GB2312" w:cs="仿宋_GB2312" w:eastAsia="仿宋_GB2312"/>
              </w:rPr>
              <w:t>一、评审内容： 内容至少包括①重点区域巡逻巡查方案；②昼夜巡逻计划方案；③学校区域清洁维护方案；④紧急情况处置方案等。 二、评审标准： 1、完整性：方案必须全面，对评审内容有详细描述； 2、可实施性：切合本项目实际情况，提出步骤清晰、合理的方案； 3、针对性：方案能够紧扣项目实际情况，内容科学合理。 三、评审标准： ①重点区域巡逻巡查方案：每完全满足一个评审标准得1分，有瑕疵得0.5分，有缺项漏项得0分。满分3分； ②昼夜巡逻计划方案：每完全满足一个评审标准得1分，有瑕疵得0.5分，有缺项漏项得0分。满分3分； ③学校区域清洁维护方案：每完全满足一个评审标准得1分，有瑕疵得0.5分，有缺项漏项得0分。满分3分； ④紧急情况处置方案等：每完全满足一个评审标准得1分，有瑕疵得0.5分，有缺项漏项得0分。满分3分。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人员配备及设备工具配置</w:t>
            </w:r>
          </w:p>
        </w:tc>
        <w:tc>
          <w:tcPr>
            <w:tcW w:type="dxa" w:w="2492"/>
          </w:tcPr>
          <w:p>
            <w:pPr>
              <w:pStyle w:val="null3"/>
            </w:pPr>
            <w:r>
              <w:rPr>
                <w:rFonts w:ascii="仿宋_GB2312" w:hAnsi="仿宋_GB2312" w:cs="仿宋_GB2312" w:eastAsia="仿宋_GB2312"/>
              </w:rPr>
              <w:t>一、评审内容： 内容至少包括①团队人员配备清单及岗位职责；②人员管理制度（仪容仪表、请销假、奖惩措施、激励机制等）；③人员日常考核及培训方案（考核标准、培训内容及进度计划等）；④人员服装配置（春夏秋冬保安制服、扎武装带、防爆服、消防服、反光背心等）；⑤装备器材配置（包括对讲机、橡胶棒，手电筒警棍、喇叭、口哨、指挥棒、指挥旗、强光手电、盾牌、长棍、防爆叉、对讲机、执法记录仪、防爆装备等）。 二、评审标准： 1、完整性：方案须全面，对评审内容中的各项要求有详细描述； 2、专业性：人员相关岗位经验丰富，切合本项目实际情况。 3、针对性：人员数量充足，人员资格/年龄等符合采购需求； 三、评审标准： ①团队人员配备清单及岗位职责：每完全满足一个评审标准得1分，有瑕疵得0.5分，有缺项漏项得0分。满分3分； ②人员管理制度（仪容仪表、请销假、奖惩措施、激励机制等）：每完全满足一个评审标准得1分，有瑕疵得0.5分，有缺项漏项得0分。满分3分； ③人员日常考核及培训方案（考核标准、培训内容及进度计划等）； ④人员服装配置（春夏秋冬保安制服、扎武装带、防爆服、消防服、反光背心等）：每完全满足一个评审标准得1分，有瑕疵得0.5分，有缺项漏项得0分。满分3分； ⑤装备器材配置（包括对讲机、橡胶棒，手电筒警棍、喇叭、口哨、指挥棒、指挥旗、强光手电、盾牌、长棍、防爆叉、对讲机、执法记录仪、防爆装备等）：每完全满足一个评审标准得1分，有瑕疵得0.5分，有缺项漏项得0分。满分3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1、学历要求（满分5分） 项目负责人具有本科及以上学历（全日制或非全日制均可），得5分，具有大专学历的，得3分。 赋分依据：须提供学信网经查证的《教育部学历证书电子注册备案表》，不提供或缺漏项不得分。 2、经验要求（满分5分） ①项目负责人具有3年服务管理经验，得3分； ②每增加一年管理经验增加1分，最多增加2分。 赋分依据：须提供服务管理经验的证明材料加盖公章，不提供或缺漏项不得分。 备注：需提供供应商为项目负责人缴纳的近六个月内至少连续三个月的社保缴纳证明材料（成立时间至提交响应文件截止时间不足六个月的供应商，可提供成立后任意一个月的社保缴纳证明材料），不提供或缺漏项本大项（10分）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1、拟派安保人员中，每提供1人的退伍复转军人证书或退役军人优待证，得2分（同一人不重复计分），满分6分。不提供或不满足要求不得分。 赋分依据：需提供证书复印件并加盖供应商公章。 2、拟派人员中持有特种作业操作证的，每提供1个证书的得3分，满分6分。不提供或不满足要求不得分。 赋分依据：需提供证书复印件并加盖供应商公章。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1、接受采购人对服务的考核、监督及管理，并对服务质量加以改进，确保服务工作的优质高效。提供承诺函得1分，否则不得分。 2、若人员因事、病不能及时上岗时，请调其他服务人员补充，确保各项服务工作正常进行。提供承诺函得1分，否则不得分。 3、具有足够的可调度人员储备，以应对重大活动、突发事件等工作任务。提供承诺函得1分，否则不得分。 4、最终执行的所有服务方案及应急预案须经采购人审核后执行。提供承诺函得1分，否则不得分。 5、在全员上岗前为所有派遣人员购买团体意外险。提供承诺函得1分，否则不得分。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供应商具有有效的①质量管理体系认证证书、②环境管理体系认证证书、③职业健康安全管理体系认证证书。 每有一项计2分，满分6分。 赋分依据：需提供证书复印件并加盖供应商公章。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针对本项目工作提出合理化建议的得1分。不提供或提出的建议与本项目无关或无可行性的得0分。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供应商近三年（2023年1月至今，以签订合同时间为准）具有类似项目业绩，每提供一个得3分，最高得12分。 注：供应商需提供合同关键页扫描件（至少应包含合同首页、合同金额所在页、签字盖章页）并加盖公章。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2.满足磋商文件实质性要求且最终报价最低的供应商的价格为磋商基准价，其价格分为满分15分。 3.磋商报价得分=（磋商基准价/最终磋商报价）×15的公式计算得分。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