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版本号：ZCLH-202605020260623001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略阳县2026年度国家重点野生动物致害严重的陆生野生动物危害监测预警防控与补偿项目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ZCLH-2026050</w:t>
      </w:r>
      <w:r>
        <w:br/>
      </w:r>
      <w:r>
        <w:br/>
      </w:r>
      <w:r>
        <w:br/>
      </w:r>
    </w:p>
    <w:p>
      <w:pPr>
        <w:pStyle w:val="null3"/>
        <w:jc w:val="center"/>
        <w:outlineLvl w:val="2"/>
      </w:pPr>
      <w:r>
        <w:rPr>
          <w:rFonts w:ascii="仿宋_GB2312" w:hAnsi="仿宋_GB2312" w:cs="仿宋_GB2312" w:eastAsia="仿宋_GB2312"/>
          <w:sz w:val="28"/>
          <w:b/>
        </w:rPr>
        <w:t>略阳县湿地保护管理中心</w:t>
      </w:r>
    </w:p>
    <w:p>
      <w:pPr>
        <w:pStyle w:val="null3"/>
        <w:jc w:val="center"/>
        <w:outlineLvl w:val="2"/>
      </w:pPr>
      <w:r>
        <w:rPr>
          <w:rFonts w:ascii="仿宋_GB2312" w:hAnsi="仿宋_GB2312" w:cs="仿宋_GB2312" w:eastAsia="仿宋_GB2312"/>
          <w:sz w:val="28"/>
          <w:b/>
        </w:rPr>
        <w:t>力华项目管理有限公司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力华项目管理有限公司</w:t>
      </w:r>
      <w:r>
        <w:rPr>
          <w:rFonts w:ascii="仿宋_GB2312" w:hAnsi="仿宋_GB2312" w:cs="仿宋_GB2312" w:eastAsia="仿宋_GB2312"/>
        </w:rPr>
        <w:t>（以下简称“代理机构”）受</w:t>
      </w:r>
      <w:r>
        <w:rPr>
          <w:rFonts w:ascii="仿宋_GB2312" w:hAnsi="仿宋_GB2312" w:cs="仿宋_GB2312" w:eastAsia="仿宋_GB2312"/>
        </w:rPr>
        <w:t>略阳县湿地保护管理中心</w:t>
      </w:r>
      <w:r>
        <w:rPr>
          <w:rFonts w:ascii="仿宋_GB2312" w:hAnsi="仿宋_GB2312" w:cs="仿宋_GB2312" w:eastAsia="仿宋_GB2312"/>
        </w:rPr>
        <w:t>委托，拟对</w:t>
      </w:r>
      <w:r>
        <w:rPr>
          <w:rFonts w:ascii="仿宋_GB2312" w:hAnsi="仿宋_GB2312" w:cs="仿宋_GB2312" w:eastAsia="仿宋_GB2312"/>
        </w:rPr>
        <w:t>略阳县2026年度国家重点野生动物致害严重的陆生野生动物危害监测预警防控与补偿项目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ZCLH-2026050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略阳县2026年度国家重点野生动物致害严重的陆生野生动物危害监测预警防控与补偿项目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通过政府购买服务，实施护农狩猎野猪90头和购买野生动物致害政府救助责任保险一期。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4、具有中国银行保险监督管理委员会颁发的经营保险业务许可证：具有中国银行保险监督管理委员会颁发的经营保险业务许可证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pPr>
        <w:pStyle w:val="null3"/>
      </w:pPr>
      <w:r>
        <w:rPr>
          <w:rFonts w:ascii="仿宋_GB2312" w:hAnsi="仿宋_GB2312" w:cs="仿宋_GB2312" w:eastAsia="仿宋_GB2312"/>
        </w:rPr>
        <w:t>4、具有中国银行保险监督管理委员会颁发的经营保险业务许可证：具有中国银行保险监督管理委员会颁发的经营保险业务许可证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略阳县湿地保护管理中心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略阳县林业局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0916-4831223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力华项目管理有限公司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成都市青羊区西货站路6号南塔7层703号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610091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15129692629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采购包1：290,000.00元</w:t>
            </w:r>
          </w:p>
          <w:p>
            <w:pPr>
              <w:pStyle w:val="null3"/>
            </w:pPr>
            <w:r>
              <w:rPr>
                <w:rFonts w:ascii="仿宋_GB2312" w:hAnsi="仿宋_GB2312" w:cs="仿宋_GB2312" w:eastAsia="仿宋_GB2312"/>
              </w:rPr>
              <w:t>采购包2：205,000.00元</w:t>
            </w:r>
          </w:p>
          <w:p>
            <w:pPr>
              <w:pStyle w:val="null3"/>
            </w:pPr>
            <w:r>
              <w:rPr>
                <w:rFonts w:ascii="仿宋_GB2312" w:hAnsi="仿宋_GB2312" w:cs="仿宋_GB2312" w:eastAsia="仿宋_GB2312"/>
              </w:rPr>
              <w:t>采购包3：205,000.00元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采购包2保证金金额：3,000.00元</w:t>
            </w:r>
          </w:p>
          <w:p>
            <w:pPr>
              <w:pStyle w:val="null3"/>
            </w:pPr>
            <w:r>
              <w:rPr>
                <w:rFonts w:ascii="仿宋_GB2312" w:hAnsi="仿宋_GB2312" w:cs="仿宋_GB2312" w:eastAsia="仿宋_GB2312"/>
              </w:rPr>
              <w:t>采购包3保证金金额：3,000.00元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开户名称：力华项目管理有限公司汉中分公司</w:t>
            </w:r>
          </w:p>
          <w:p>
            <w:pPr>
              <w:pStyle w:val="null3"/>
            </w:pPr>
            <w:r>
              <w:rPr>
                <w:rFonts w:ascii="仿宋_GB2312" w:hAnsi="仿宋_GB2312" w:cs="仿宋_GB2312" w:eastAsia="仿宋_GB2312"/>
              </w:rPr>
              <w:t>开户银行：中国银行股份有限公司汉中椰岛广场支行</w:t>
            </w:r>
          </w:p>
          <w:p>
            <w:pPr>
              <w:pStyle w:val="null3"/>
            </w:pPr>
            <w:r>
              <w:rPr>
                <w:rFonts w:ascii="仿宋_GB2312" w:hAnsi="仿宋_GB2312" w:cs="仿宋_GB2312" w:eastAsia="仿宋_GB2312"/>
              </w:rPr>
              <w:t>银行账号：1033 0764 0284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2、采购代理服务费的缴纳方式:在领取《成交通知书》时向采购代理机构一次性全额缴纳采购代理服务费。3、采购代理服务费以转账形式缴纳至以下账户:开户名称:力华项目管理有限公司汉中分公司开户银行中国银行股份有限公司汉中椰岛广场支行银行账号:10330764 0284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略阳县湿地保护管理中心</w:t>
      </w:r>
      <w:r>
        <w:rPr>
          <w:rFonts w:ascii="仿宋_GB2312" w:hAnsi="仿宋_GB2312" w:cs="仿宋_GB2312" w:eastAsia="仿宋_GB2312"/>
        </w:rPr>
        <w:t>和</w:t>
      </w:r>
      <w:r>
        <w:rPr>
          <w:rFonts w:ascii="仿宋_GB2312" w:hAnsi="仿宋_GB2312" w:cs="仿宋_GB2312" w:eastAsia="仿宋_GB2312"/>
        </w:rPr>
        <w:t>力华项目管理有限公司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略阳县湿地保护管理中心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力华项目管理有限公司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略阳县湿地保护管理中心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力华项目管理有限公司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力华项目管理有限公司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力华项目管理有限公司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联系电话：15129692629</w:t>
      </w:r>
    </w:p>
    <w:p>
      <w:pPr>
        <w:pStyle w:val="null3"/>
      </w:pPr>
      <w:r>
        <w:rPr>
          <w:rFonts w:ascii="仿宋_GB2312" w:hAnsi="仿宋_GB2312" w:cs="仿宋_GB2312" w:eastAsia="仿宋_GB2312"/>
        </w:rPr>
        <w:t>地址：汉中市汉台区竹园天玺办公楼11楼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通过政府购买服务，实施护农狩猎野猪90头和购买野生动物致害政府救助责任保险一期。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290,000.00</w:t>
      </w:r>
    </w:p>
    <w:p>
      <w:pPr>
        <w:pStyle w:val="null3"/>
      </w:pPr>
      <w:r>
        <w:rPr>
          <w:rFonts w:ascii="仿宋_GB2312" w:hAnsi="仿宋_GB2312" w:cs="仿宋_GB2312" w:eastAsia="仿宋_GB2312"/>
        </w:rPr>
        <w:t>采购包最高限价（元）: 290,000.00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野猪监测及防控</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205,000.00</w:t>
      </w:r>
    </w:p>
    <w:p>
      <w:pPr>
        <w:pStyle w:val="null3"/>
      </w:pPr>
      <w:r>
        <w:rPr>
          <w:rFonts w:ascii="仿宋_GB2312" w:hAnsi="仿宋_GB2312" w:cs="仿宋_GB2312" w:eastAsia="仿宋_GB2312"/>
        </w:rPr>
        <w:t>采购包最高限价（元）: 205,000.00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野生动物救助责任保险（8个镇）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205,000.00</w:t>
      </w:r>
    </w:p>
    <w:p>
      <w:pPr>
        <w:pStyle w:val="null3"/>
      </w:pPr>
      <w:r>
        <w:rPr>
          <w:rFonts w:ascii="仿宋_GB2312" w:hAnsi="仿宋_GB2312" w:cs="仿宋_GB2312" w:eastAsia="仿宋_GB2312"/>
        </w:rPr>
        <w:t>采购包最高限价（元）: 205,000.00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野生动物救助责任保险（9个镇）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标的名称：野猪监测及防控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1.开展野猪监测及防控工作，一是由护农狩猎队伍对野猪实行有组织、有计划的合法捕杀，并对狩猎野猪进行无害化处理;二是提高野生动物疫源疫病防控能力，加强无害化处置。</w:t>
            </w:r>
          </w:p>
          <w:p>
            <w:pPr>
              <w:pStyle w:val="null3"/>
              <w:jc w:val="both"/>
            </w:pPr>
            <w:r>
              <w:rPr>
                <w:rFonts w:ascii="仿宋_GB2312" w:hAnsi="仿宋_GB2312" w:cs="仿宋_GB2312" w:eastAsia="仿宋_GB2312"/>
                <w:sz w:val="28"/>
              </w:rPr>
              <w:t>2.区域</w:t>
            </w:r>
            <w:r>
              <w:rPr>
                <w:rFonts w:ascii="仿宋_GB2312" w:hAnsi="仿宋_GB2312" w:cs="仿宋_GB2312" w:eastAsia="仿宋_GB2312"/>
                <w:sz w:val="28"/>
              </w:rPr>
              <w:t>：</w:t>
            </w:r>
            <w:r>
              <w:rPr>
                <w:rFonts w:ascii="仿宋_GB2312" w:hAnsi="仿宋_GB2312" w:cs="仿宋_GB2312" w:eastAsia="仿宋_GB2312"/>
                <w:sz w:val="28"/>
              </w:rPr>
              <w:t>略阳县区域范围内</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3.野猪监测及防控工作</w:t>
            </w:r>
          </w:p>
          <w:p>
            <w:pPr>
              <w:pStyle w:val="null3"/>
              <w:ind w:firstLine="560"/>
              <w:jc w:val="both"/>
            </w:pPr>
            <w:r>
              <w:rPr>
                <w:rFonts w:ascii="仿宋_GB2312" w:hAnsi="仿宋_GB2312" w:cs="仿宋_GB2312" w:eastAsia="仿宋_GB2312"/>
                <w:sz w:val="28"/>
              </w:rPr>
              <w:t>野猪种群调控。依法开展狩猎</w:t>
            </w:r>
            <w:r>
              <w:rPr>
                <w:rFonts w:ascii="仿宋_GB2312" w:hAnsi="仿宋_GB2312" w:cs="仿宋_GB2312" w:eastAsia="仿宋_GB2312"/>
                <w:sz w:val="28"/>
              </w:rPr>
              <w:t>90</w:t>
            </w:r>
            <w:r>
              <w:rPr>
                <w:rFonts w:ascii="仿宋_GB2312" w:hAnsi="仿宋_GB2312" w:cs="仿宋_GB2312" w:eastAsia="仿宋_GB2312"/>
                <w:sz w:val="28"/>
              </w:rPr>
              <w:t>头。一是严格狩猎种类，狩猎种类仅为野猪，严禁捕杀其他野生动物。二是严格狩猎方式，猎捕方式仅为笼捕</w:t>
            </w:r>
            <w:r>
              <w:rPr>
                <w:rFonts w:ascii="仿宋_GB2312" w:hAnsi="仿宋_GB2312" w:cs="仿宋_GB2312" w:eastAsia="仿宋_GB2312"/>
                <w:sz w:val="28"/>
              </w:rPr>
              <w:t>或笼捕</w:t>
            </w:r>
            <w:r>
              <w:rPr>
                <w:rFonts w:ascii="仿宋_GB2312" w:hAnsi="仿宋_GB2312" w:cs="仿宋_GB2312" w:eastAsia="仿宋_GB2312"/>
                <w:sz w:val="28"/>
              </w:rPr>
              <w:t>+猎犬辅助</w:t>
            </w:r>
            <w:r>
              <w:rPr>
                <w:rFonts w:ascii="仿宋_GB2312" w:hAnsi="仿宋_GB2312" w:cs="仿宋_GB2312" w:eastAsia="仿宋_GB2312"/>
                <w:sz w:val="28"/>
              </w:rPr>
              <w:t>方式进行，禁止利用其他非法方式进行捕杀。三是严格狩猎区域和狩猎数量，必须按照狩猎证发放区域和数量进行狩猎。对捕获的野猪进行严格管理。捕捉野猪以奖励形式兑现资金，具体奖励标准</w:t>
            </w:r>
            <w:r>
              <w:rPr>
                <w:rFonts w:ascii="仿宋_GB2312" w:hAnsi="仿宋_GB2312" w:cs="仿宋_GB2312" w:eastAsia="仿宋_GB2312"/>
                <w:sz w:val="28"/>
              </w:rPr>
              <w:t>:每捕获一头野猪奖励</w:t>
            </w:r>
            <w:r>
              <w:rPr>
                <w:rFonts w:ascii="仿宋_GB2312" w:hAnsi="仿宋_GB2312" w:cs="仿宋_GB2312" w:eastAsia="仿宋_GB2312"/>
                <w:sz w:val="28"/>
              </w:rPr>
              <w:t>3</w:t>
            </w:r>
            <w:r>
              <w:rPr>
                <w:rFonts w:ascii="仿宋_GB2312" w:hAnsi="仿宋_GB2312" w:cs="仿宋_GB2312" w:eastAsia="仿宋_GB2312"/>
                <w:sz w:val="28"/>
              </w:rPr>
              <w:t>000元，捕获的野猪严禁食用、交易和售卖，禁止流入市场，捕获的野猪由县林业局监督，统一依法进行无害化处置。对捕获野猪的处置建立专项档案资料，留存影像资料。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标的名称：野生动物救助责任保险（8个镇）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20"/>
              <w:jc w:val="both"/>
            </w:pPr>
            <w:r>
              <w:rPr>
                <w:rFonts w:ascii="仿宋_GB2312" w:hAnsi="仿宋_GB2312" w:cs="仿宋_GB2312" w:eastAsia="仿宋_GB2312"/>
                <w:sz w:val="32"/>
              </w:rPr>
              <w:t>1、主要建设任务</w:t>
            </w:r>
          </w:p>
          <w:p>
            <w:pPr>
              <w:pStyle w:val="null3"/>
              <w:ind w:firstLine="640"/>
              <w:jc w:val="both"/>
            </w:pPr>
            <w:r>
              <w:rPr>
                <w:rFonts w:ascii="仿宋_GB2312" w:hAnsi="仿宋_GB2312" w:cs="仿宋_GB2312" w:eastAsia="仿宋_GB2312"/>
                <w:sz w:val="32"/>
              </w:rPr>
              <w:t>购买野生动物致害政府救助责任保险。</w:t>
            </w:r>
          </w:p>
          <w:p>
            <w:pPr>
              <w:pStyle w:val="null3"/>
              <w:ind w:firstLine="320"/>
              <w:jc w:val="both"/>
            </w:pPr>
            <w:r>
              <w:rPr>
                <w:rFonts w:ascii="仿宋_GB2312" w:hAnsi="仿宋_GB2312" w:cs="仿宋_GB2312" w:eastAsia="仿宋_GB2312"/>
                <w:sz w:val="32"/>
              </w:rPr>
              <w:t>2、保险服务要求如下：</w:t>
            </w:r>
          </w:p>
          <w:p>
            <w:pPr>
              <w:pStyle w:val="null3"/>
              <w:ind w:firstLine="640"/>
              <w:jc w:val="both"/>
            </w:pPr>
            <w:r>
              <w:rPr>
                <w:rFonts w:ascii="仿宋_GB2312" w:hAnsi="仿宋_GB2312" w:cs="仿宋_GB2312" w:eastAsia="仿宋_GB2312"/>
                <w:sz w:val="32"/>
              </w:rPr>
              <w:t>2.1受保障人员范围：本保险的受保障人员范围为</w:t>
            </w:r>
            <w:r>
              <w:rPr>
                <w:rFonts w:ascii="仿宋_GB2312" w:hAnsi="仿宋_GB2312" w:cs="仿宋_GB2312" w:eastAsia="仿宋_GB2312"/>
                <w:sz w:val="32"/>
              </w:rPr>
              <w:t>略阳县公安部门登记在册的户及自然人</w:t>
            </w:r>
            <w:r>
              <w:rPr>
                <w:rFonts w:ascii="仿宋_GB2312" w:hAnsi="仿宋_GB2312" w:cs="仿宋_GB2312" w:eastAsia="仿宋_GB2312"/>
                <w:sz w:val="32"/>
              </w:rPr>
              <w:t>、</w:t>
            </w:r>
            <w:r>
              <w:rPr>
                <w:rFonts w:ascii="仿宋_GB2312" w:hAnsi="仿宋_GB2312" w:cs="仿宋_GB2312" w:eastAsia="仿宋_GB2312"/>
                <w:sz w:val="32"/>
              </w:rPr>
              <w:t>在略阳县境内从事其它活动的流动人口。</w:t>
            </w:r>
          </w:p>
          <w:p>
            <w:pPr>
              <w:pStyle w:val="null3"/>
              <w:ind w:firstLine="640"/>
              <w:jc w:val="both"/>
            </w:pPr>
            <w:r>
              <w:rPr>
                <w:rFonts w:ascii="仿宋_GB2312" w:hAnsi="仿宋_GB2312" w:cs="仿宋_GB2312" w:eastAsia="仿宋_GB2312"/>
                <w:sz w:val="32"/>
              </w:rPr>
              <w:t>2.2保险责任范围：在保险期内，受保障人员遭受野生动物伤害导致人身伤亡或财产损失的。</w:t>
            </w:r>
          </w:p>
          <w:p>
            <w:pPr>
              <w:pStyle w:val="null3"/>
              <w:ind w:firstLine="640"/>
              <w:jc w:val="both"/>
            </w:pPr>
            <w:r>
              <w:rPr>
                <w:rFonts w:ascii="仿宋_GB2312" w:hAnsi="仿宋_GB2312" w:cs="仿宋_GB2312" w:eastAsia="仿宋_GB2312"/>
                <w:sz w:val="32"/>
                <w:color w:val="000000"/>
              </w:rPr>
              <w:t>2.3赔偿标准</w:t>
            </w:r>
          </w:p>
          <w:p>
            <w:pPr>
              <w:pStyle w:val="null3"/>
              <w:ind w:firstLine="640"/>
              <w:jc w:val="both"/>
            </w:pPr>
            <w:r>
              <w:rPr>
                <w:rFonts w:ascii="仿宋_GB2312" w:hAnsi="仿宋_GB2312" w:cs="仿宋_GB2312" w:eastAsia="仿宋_GB2312"/>
                <w:sz w:val="32"/>
              </w:rPr>
              <w:t>保险事故发生后，</w:t>
            </w:r>
            <w:r>
              <w:rPr>
                <w:rFonts w:ascii="仿宋_GB2312" w:hAnsi="仿宋_GB2312" w:cs="仿宋_GB2312" w:eastAsia="仿宋_GB2312"/>
                <w:sz w:val="32"/>
              </w:rPr>
              <w:t>承保人</w:t>
            </w:r>
            <w:r>
              <w:rPr>
                <w:rFonts w:ascii="仿宋_GB2312" w:hAnsi="仿宋_GB2312" w:cs="仿宋_GB2312" w:eastAsia="仿宋_GB2312"/>
                <w:sz w:val="32"/>
              </w:rPr>
              <w:t>对受害人给付的救助金，</w:t>
            </w:r>
            <w:r>
              <w:rPr>
                <w:rFonts w:ascii="仿宋_GB2312" w:hAnsi="仿宋_GB2312" w:cs="仿宋_GB2312" w:eastAsia="仿宋_GB2312"/>
                <w:sz w:val="32"/>
              </w:rPr>
              <w:t>承保人</w:t>
            </w:r>
            <w:r>
              <w:rPr>
                <w:rFonts w:ascii="仿宋_GB2312" w:hAnsi="仿宋_GB2312" w:cs="仿宋_GB2312" w:eastAsia="仿宋_GB2312"/>
                <w:sz w:val="32"/>
              </w:rPr>
              <w:t>按照以下方式计算赔偿：</w:t>
            </w:r>
          </w:p>
          <w:p>
            <w:pPr>
              <w:pStyle w:val="null3"/>
              <w:ind w:firstLine="640"/>
              <w:jc w:val="both"/>
            </w:pPr>
            <w:r>
              <w:rPr>
                <w:rFonts w:ascii="仿宋_GB2312" w:hAnsi="仿宋_GB2312" w:cs="仿宋_GB2312" w:eastAsia="仿宋_GB2312"/>
                <w:sz w:val="32"/>
              </w:rPr>
              <w:t>人身致害</w:t>
            </w:r>
          </w:p>
          <w:p>
            <w:pPr>
              <w:pStyle w:val="null3"/>
              <w:ind w:firstLine="640"/>
              <w:jc w:val="both"/>
            </w:pPr>
            <w:r>
              <w:rPr>
                <w:rFonts w:ascii="仿宋_GB2312" w:hAnsi="仿宋_GB2312" w:cs="仿宋_GB2312" w:eastAsia="仿宋_GB2312"/>
                <w:sz w:val="32"/>
              </w:rPr>
              <w:t>每次事故伤残、死亡赔偿限额</w:t>
            </w:r>
          </w:p>
          <w:p>
            <w:pPr>
              <w:pStyle w:val="null3"/>
              <w:ind w:firstLine="640"/>
              <w:jc w:val="both"/>
            </w:pPr>
            <w:r>
              <w:rPr>
                <w:rFonts w:ascii="仿宋_GB2312" w:hAnsi="仿宋_GB2312" w:cs="仿宋_GB2312" w:eastAsia="仿宋_GB2312"/>
                <w:sz w:val="32"/>
              </w:rPr>
              <w:t>死亡赔偿限额：</w:t>
            </w:r>
            <w:r>
              <w:rPr>
                <w:rFonts w:ascii="仿宋_GB2312" w:hAnsi="仿宋_GB2312" w:cs="仿宋_GB2312" w:eastAsia="仿宋_GB2312"/>
                <w:sz w:val="32"/>
              </w:rPr>
              <w:t>20.00万元/人</w:t>
            </w:r>
          </w:p>
          <w:p>
            <w:pPr>
              <w:pStyle w:val="null3"/>
              <w:ind w:firstLine="640"/>
              <w:jc w:val="both"/>
            </w:pPr>
            <w:r>
              <w:rPr>
                <w:rFonts w:ascii="仿宋_GB2312" w:hAnsi="仿宋_GB2312" w:cs="仿宋_GB2312" w:eastAsia="仿宋_GB2312"/>
                <w:sz w:val="32"/>
              </w:rPr>
              <w:t>伤残赔偿：每人</w:t>
            </w:r>
            <w:r>
              <w:rPr>
                <w:rFonts w:ascii="仿宋_GB2312" w:hAnsi="仿宋_GB2312" w:cs="仿宋_GB2312" w:eastAsia="仿宋_GB2312"/>
                <w:sz w:val="32"/>
              </w:rPr>
              <w:t>伤残死亡</w:t>
            </w:r>
            <w:r>
              <w:rPr>
                <w:rFonts w:ascii="仿宋_GB2312" w:hAnsi="仿宋_GB2312" w:cs="仿宋_GB2312" w:eastAsia="仿宋_GB2312"/>
                <w:sz w:val="32"/>
              </w:rPr>
              <w:t>赔偿限额</w:t>
            </w:r>
            <w:r>
              <w:rPr>
                <w:rFonts w:ascii="仿宋_GB2312" w:hAnsi="仿宋_GB2312" w:cs="仿宋_GB2312" w:eastAsia="仿宋_GB2312"/>
                <w:sz w:val="32"/>
              </w:rPr>
              <w:t>20万元*伤残评定等级对应赔偿比例（%）</w:t>
            </w:r>
          </w:p>
          <w:p>
            <w:pPr>
              <w:pStyle w:val="null3"/>
              <w:ind w:firstLine="640"/>
              <w:jc w:val="center"/>
            </w:pPr>
            <w:r>
              <w:rPr>
                <w:rFonts w:ascii="仿宋_GB2312" w:hAnsi="仿宋_GB2312" w:cs="仿宋_GB2312" w:eastAsia="仿宋_GB2312"/>
                <w:sz w:val="32"/>
              </w:rPr>
              <w:t>伤残等级赔偿比例表</w:t>
            </w:r>
          </w:p>
          <w:tbl>
            <w:tblPr>
              <w:tblBorders>
                <w:top w:val="none" w:color="000000" w:sz="4"/>
                <w:left w:val="none" w:color="000000" w:sz="4"/>
                <w:bottom w:val="none" w:color="000000" w:sz="4"/>
                <w:right w:val="none" w:color="000000" w:sz="4"/>
                <w:insideH w:val="none"/>
                <w:insideV w:val="none"/>
              </w:tblBorders>
            </w:tblPr>
            <w:tblGrid>
              <w:gridCol w:w="300"/>
              <w:gridCol w:w="1037"/>
              <w:gridCol w:w="121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项目</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伤残程度</w:t>
                  </w:r>
                </w:p>
              </w:tc>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赔偿比例（按每人人身伤亡责任限额的</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（一）</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永久丧失工作能力或一级伤残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100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（二）</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二级伤残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90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三级伤残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80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（四）</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四级伤残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70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（五）</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五级伤残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60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（六）</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六级伤残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50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（七）</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七级伤残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40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（八）</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八级伤残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30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（九）</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九级伤残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（十）</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十级伤残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10</w:t>
                  </w:r>
                  <w:r>
                    <w:rPr>
                      <w:rFonts w:ascii="仿宋_GB2312" w:hAnsi="仿宋_GB2312" w:cs="仿宋_GB2312" w:eastAsia="仿宋_GB2312"/>
                      <w:sz w:val="32"/>
                    </w:rPr>
                    <w:t>%</w:t>
                  </w:r>
                </w:p>
              </w:tc>
            </w:tr>
          </w:tbl>
          <w:p>
            <w:pPr>
              <w:pStyle w:val="null3"/>
              <w:ind w:firstLine="640"/>
              <w:jc w:val="both"/>
            </w:pPr>
            <w:r>
              <w:rPr>
                <w:rFonts w:ascii="仿宋_GB2312" w:hAnsi="仿宋_GB2312" w:cs="仿宋_GB2312" w:eastAsia="仿宋_GB2312"/>
                <w:sz w:val="32"/>
              </w:rPr>
              <w:t>每次事故每人医疗费责任限额</w:t>
            </w:r>
            <w:r>
              <w:rPr>
                <w:rFonts w:ascii="仿宋_GB2312" w:hAnsi="仿宋_GB2312" w:cs="仿宋_GB2312" w:eastAsia="仿宋_GB2312"/>
                <w:sz w:val="32"/>
              </w:rPr>
              <w:t>：</w:t>
            </w:r>
            <w:r>
              <w:rPr>
                <w:rFonts w:ascii="仿宋_GB2312" w:hAnsi="仿宋_GB2312" w:cs="仿宋_GB2312" w:eastAsia="仿宋_GB2312"/>
                <w:sz w:val="32"/>
              </w:rPr>
              <w:t>1万元</w:t>
            </w:r>
          </w:p>
          <w:p>
            <w:pPr>
              <w:pStyle w:val="null3"/>
              <w:ind w:firstLine="640"/>
              <w:jc w:val="both"/>
            </w:pPr>
            <w:r>
              <w:rPr>
                <w:rFonts w:ascii="仿宋_GB2312" w:hAnsi="仿宋_GB2312" w:cs="仿宋_GB2312" w:eastAsia="仿宋_GB2312"/>
                <w:sz w:val="32"/>
              </w:rPr>
              <w:t>每人每次事故医疗费用</w:t>
            </w:r>
            <w:r>
              <w:rPr>
                <w:rFonts w:ascii="仿宋_GB2312" w:hAnsi="仿宋_GB2312" w:cs="仿宋_GB2312" w:eastAsia="仿宋_GB2312"/>
                <w:sz w:val="32"/>
              </w:rPr>
              <w:t>（在医保用药及费用目录范围内）</w:t>
            </w:r>
            <w:r>
              <w:rPr>
                <w:rFonts w:ascii="仿宋_GB2312" w:hAnsi="仿宋_GB2312" w:cs="仿宋_GB2312" w:eastAsia="仿宋_GB2312"/>
                <w:sz w:val="32"/>
              </w:rPr>
              <w:t>免赔</w:t>
            </w:r>
            <w:r>
              <w:rPr>
                <w:rFonts w:ascii="仿宋_GB2312" w:hAnsi="仿宋_GB2312" w:cs="仿宋_GB2312" w:eastAsia="仿宋_GB2312"/>
                <w:sz w:val="32"/>
              </w:rPr>
              <w:t>100</w:t>
            </w:r>
            <w:r>
              <w:rPr>
                <w:rFonts w:ascii="仿宋_GB2312" w:hAnsi="仿宋_GB2312" w:cs="仿宋_GB2312" w:eastAsia="仿宋_GB2312"/>
                <w:sz w:val="32"/>
              </w:rPr>
              <w:t>元</w:t>
            </w:r>
            <w:r>
              <w:rPr>
                <w:rFonts w:ascii="仿宋_GB2312" w:hAnsi="仿宋_GB2312" w:cs="仿宋_GB2312" w:eastAsia="仿宋_GB2312"/>
                <w:sz w:val="32"/>
              </w:rPr>
              <w:t>后</w:t>
            </w:r>
            <w:r>
              <w:rPr>
                <w:rFonts w:ascii="仿宋_GB2312" w:hAnsi="仿宋_GB2312" w:cs="仿宋_GB2312" w:eastAsia="仿宋_GB2312"/>
                <w:sz w:val="32"/>
              </w:rPr>
              <w:t>剩余部分按</w:t>
            </w:r>
            <w:r>
              <w:rPr>
                <w:rFonts w:ascii="仿宋_GB2312" w:hAnsi="仿宋_GB2312" w:cs="仿宋_GB2312" w:eastAsia="仿宋_GB2312"/>
                <w:sz w:val="32"/>
              </w:rPr>
              <w:t>90</w:t>
            </w:r>
            <w:r>
              <w:rPr>
                <w:rFonts w:ascii="仿宋_GB2312" w:hAnsi="仿宋_GB2312" w:cs="仿宋_GB2312" w:eastAsia="仿宋_GB2312"/>
                <w:sz w:val="32"/>
              </w:rPr>
              <w:t>%</w:t>
            </w:r>
            <w:r>
              <w:rPr>
                <w:rFonts w:ascii="仿宋_GB2312" w:hAnsi="仿宋_GB2312" w:cs="仿宋_GB2312" w:eastAsia="仿宋_GB2312"/>
                <w:sz w:val="32"/>
              </w:rPr>
              <w:t>赔付；</w:t>
            </w:r>
          </w:p>
          <w:p>
            <w:pPr>
              <w:pStyle w:val="null3"/>
              <w:ind w:firstLine="640"/>
              <w:jc w:val="both"/>
            </w:pPr>
            <w:r>
              <w:rPr>
                <w:rFonts w:ascii="仿宋_GB2312" w:hAnsi="仿宋_GB2312" w:cs="仿宋_GB2312" w:eastAsia="仿宋_GB2312"/>
                <w:sz w:val="32"/>
              </w:rPr>
              <w:t>医疗费用经农合、居民医保等渠道报销后，剩余部分凭</w:t>
            </w:r>
            <w:r>
              <w:rPr>
                <w:rFonts w:ascii="仿宋_GB2312" w:hAnsi="仿宋_GB2312" w:cs="仿宋_GB2312" w:eastAsia="仿宋_GB2312"/>
                <w:sz w:val="32"/>
              </w:rPr>
              <w:t>报销</w:t>
            </w:r>
            <w:r>
              <w:rPr>
                <w:rFonts w:ascii="仿宋_GB2312" w:hAnsi="仿宋_GB2312" w:cs="仿宋_GB2312" w:eastAsia="仿宋_GB2312"/>
                <w:sz w:val="32"/>
              </w:rPr>
              <w:t>证明和医疗费用发票复印件由保险公司赔付。</w:t>
            </w:r>
          </w:p>
          <w:p>
            <w:pPr>
              <w:pStyle w:val="null3"/>
              <w:ind w:firstLine="640"/>
              <w:jc w:val="both"/>
            </w:pPr>
            <w:r>
              <w:rPr>
                <w:rFonts w:ascii="仿宋_GB2312" w:hAnsi="仿宋_GB2312" w:cs="仿宋_GB2312" w:eastAsia="仿宋_GB2312"/>
                <w:sz w:val="32"/>
              </w:rPr>
              <w:t>2.4</w:t>
            </w:r>
            <w:r>
              <w:rPr>
                <w:rFonts w:ascii="仿宋_GB2312" w:hAnsi="仿宋_GB2312" w:cs="仿宋_GB2312" w:eastAsia="仿宋_GB2312"/>
                <w:sz w:val="32"/>
              </w:rPr>
              <w:t>财产类损失赔偿限额、范围及赔偿处理方式</w:t>
            </w:r>
          </w:p>
          <w:p>
            <w:pPr>
              <w:pStyle w:val="null3"/>
              <w:ind w:firstLine="640"/>
              <w:jc w:val="both"/>
            </w:pPr>
            <w:r>
              <w:rPr>
                <w:rFonts w:ascii="仿宋_GB2312" w:hAnsi="仿宋_GB2312" w:cs="仿宋_GB2312" w:eastAsia="仿宋_GB2312"/>
                <w:sz w:val="32"/>
              </w:rPr>
              <w:t>财产类损失部分每户累计赔偿限额：</w:t>
            </w:r>
            <w:r>
              <w:rPr>
                <w:rFonts w:ascii="仿宋_GB2312" w:hAnsi="仿宋_GB2312" w:cs="仿宋_GB2312" w:eastAsia="仿宋_GB2312"/>
                <w:sz w:val="32"/>
              </w:rPr>
              <w:t>1.0万元/户·年种植业作物类</w:t>
            </w:r>
          </w:p>
          <w:p>
            <w:pPr>
              <w:pStyle w:val="null3"/>
              <w:ind w:firstLine="640"/>
              <w:jc w:val="both"/>
            </w:pPr>
            <w:r>
              <w:rPr>
                <w:rFonts w:ascii="仿宋_GB2312" w:hAnsi="仿宋_GB2312" w:cs="仿宋_GB2312" w:eastAsia="仿宋_GB2312"/>
                <w:sz w:val="32"/>
              </w:rPr>
              <w:t>农作物：玉米</w:t>
            </w:r>
            <w:r>
              <w:rPr>
                <w:rFonts w:ascii="仿宋_GB2312" w:hAnsi="仿宋_GB2312" w:cs="仿宋_GB2312" w:eastAsia="仿宋_GB2312"/>
                <w:sz w:val="32"/>
              </w:rPr>
              <w:t>450元/亩，</w:t>
            </w:r>
            <w:r>
              <w:rPr>
                <w:rFonts w:ascii="仿宋_GB2312" w:hAnsi="仿宋_GB2312" w:cs="仿宋_GB2312" w:eastAsia="仿宋_GB2312"/>
                <w:sz w:val="32"/>
              </w:rPr>
              <w:t>小麦</w:t>
            </w:r>
            <w:r>
              <w:rPr>
                <w:rFonts w:ascii="仿宋_GB2312" w:hAnsi="仿宋_GB2312" w:cs="仿宋_GB2312" w:eastAsia="仿宋_GB2312"/>
                <w:sz w:val="32"/>
              </w:rPr>
              <w:t>450元/亩，</w:t>
            </w:r>
            <w:r>
              <w:rPr>
                <w:rFonts w:ascii="仿宋_GB2312" w:hAnsi="仿宋_GB2312" w:cs="仿宋_GB2312" w:eastAsia="仿宋_GB2312"/>
                <w:sz w:val="32"/>
              </w:rPr>
              <w:t>水稻</w:t>
            </w:r>
            <w:r>
              <w:rPr>
                <w:rFonts w:ascii="仿宋_GB2312" w:hAnsi="仿宋_GB2312" w:cs="仿宋_GB2312" w:eastAsia="仿宋_GB2312"/>
                <w:sz w:val="32"/>
              </w:rPr>
              <w:t>450元/亩，</w:t>
            </w:r>
            <w:r>
              <w:rPr>
                <w:rFonts w:ascii="仿宋_GB2312" w:hAnsi="仿宋_GB2312" w:cs="仿宋_GB2312" w:eastAsia="仿宋_GB2312"/>
                <w:sz w:val="32"/>
              </w:rPr>
              <w:t>油菜</w:t>
            </w:r>
            <w:r>
              <w:rPr>
                <w:rFonts w:ascii="仿宋_GB2312" w:hAnsi="仿宋_GB2312" w:cs="仿宋_GB2312" w:eastAsia="仿宋_GB2312"/>
                <w:sz w:val="32"/>
              </w:rPr>
              <w:t>350元/亩，</w:t>
            </w:r>
            <w:r>
              <w:rPr>
                <w:rFonts w:ascii="仿宋_GB2312" w:hAnsi="仿宋_GB2312" w:cs="仿宋_GB2312" w:eastAsia="仿宋_GB2312"/>
                <w:sz w:val="32"/>
              </w:rPr>
              <w:t>土豆</w:t>
            </w:r>
            <w:r>
              <w:rPr>
                <w:rFonts w:ascii="仿宋_GB2312" w:hAnsi="仿宋_GB2312" w:cs="仿宋_GB2312" w:eastAsia="仿宋_GB2312"/>
                <w:sz w:val="32"/>
              </w:rPr>
              <w:t>350元/亩，</w:t>
            </w:r>
            <w:r>
              <w:rPr>
                <w:rFonts w:ascii="仿宋_GB2312" w:hAnsi="仿宋_GB2312" w:cs="仿宋_GB2312" w:eastAsia="仿宋_GB2312"/>
                <w:sz w:val="32"/>
              </w:rPr>
              <w:t>大豆</w:t>
            </w:r>
            <w:r>
              <w:rPr>
                <w:rFonts w:ascii="仿宋_GB2312" w:hAnsi="仿宋_GB2312" w:cs="仿宋_GB2312" w:eastAsia="仿宋_GB2312"/>
                <w:sz w:val="32"/>
              </w:rPr>
              <w:t>350元/亩，</w:t>
            </w:r>
            <w:r>
              <w:rPr>
                <w:rFonts w:ascii="仿宋_GB2312" w:hAnsi="仿宋_GB2312" w:cs="仿宋_GB2312" w:eastAsia="仿宋_GB2312"/>
                <w:sz w:val="32"/>
              </w:rPr>
              <w:t>魔芋</w:t>
            </w:r>
            <w:r>
              <w:rPr>
                <w:rFonts w:ascii="仿宋_GB2312" w:hAnsi="仿宋_GB2312" w:cs="仿宋_GB2312" w:eastAsia="仿宋_GB2312"/>
                <w:sz w:val="32"/>
              </w:rPr>
              <w:t>450元/亩，</w:t>
            </w:r>
            <w:r>
              <w:rPr>
                <w:rFonts w:ascii="仿宋_GB2312" w:hAnsi="仿宋_GB2312" w:cs="仿宋_GB2312" w:eastAsia="仿宋_GB2312"/>
                <w:sz w:val="32"/>
              </w:rPr>
              <w:t>其</w:t>
            </w:r>
            <w:r>
              <w:rPr>
                <w:rFonts w:ascii="仿宋_GB2312" w:hAnsi="仿宋_GB2312" w:cs="仿宋_GB2312" w:eastAsia="仿宋_GB2312"/>
                <w:sz w:val="32"/>
              </w:rPr>
              <w:t>它</w:t>
            </w:r>
            <w:r>
              <w:rPr>
                <w:rFonts w:ascii="仿宋_GB2312" w:hAnsi="仿宋_GB2312" w:cs="仿宋_GB2312" w:eastAsia="仿宋_GB2312"/>
                <w:sz w:val="32"/>
              </w:rPr>
              <w:t>农</w:t>
            </w:r>
            <w:r>
              <w:rPr>
                <w:rFonts w:ascii="仿宋_GB2312" w:hAnsi="仿宋_GB2312" w:cs="仿宋_GB2312" w:eastAsia="仿宋_GB2312"/>
                <w:sz w:val="32"/>
              </w:rPr>
              <w:t>作物</w:t>
            </w:r>
            <w:r>
              <w:rPr>
                <w:rFonts w:ascii="仿宋_GB2312" w:hAnsi="仿宋_GB2312" w:cs="仿宋_GB2312" w:eastAsia="仿宋_GB2312"/>
                <w:sz w:val="32"/>
              </w:rPr>
              <w:t>350元/亩。</w:t>
            </w:r>
          </w:p>
          <w:p>
            <w:pPr>
              <w:pStyle w:val="null3"/>
              <w:ind w:firstLine="640"/>
              <w:jc w:val="both"/>
            </w:pPr>
            <w:r>
              <w:rPr>
                <w:rFonts w:ascii="仿宋_GB2312" w:hAnsi="仿宋_GB2312" w:cs="仿宋_GB2312" w:eastAsia="仿宋_GB2312"/>
                <w:sz w:val="32"/>
              </w:rPr>
              <w:t>中药</w:t>
            </w:r>
            <w:r>
              <w:rPr>
                <w:rFonts w:ascii="仿宋_GB2312" w:hAnsi="仿宋_GB2312" w:cs="仿宋_GB2312" w:eastAsia="仿宋_GB2312"/>
                <w:sz w:val="32"/>
              </w:rPr>
              <w:t>材：中药材损失</w:t>
            </w:r>
            <w:r>
              <w:rPr>
                <w:rFonts w:ascii="仿宋_GB2312" w:hAnsi="仿宋_GB2312" w:cs="仿宋_GB2312" w:eastAsia="仿宋_GB2312"/>
                <w:sz w:val="32"/>
              </w:rPr>
              <w:t>0.2亩（含）以上按实际损失</w:t>
            </w:r>
            <w:r>
              <w:rPr>
                <w:rFonts w:ascii="仿宋_GB2312" w:hAnsi="仿宋_GB2312" w:cs="仿宋_GB2312" w:eastAsia="仿宋_GB2312"/>
                <w:sz w:val="32"/>
              </w:rPr>
              <w:t>计算</w:t>
            </w:r>
            <w:r>
              <w:rPr>
                <w:rFonts w:ascii="仿宋_GB2312" w:hAnsi="仿宋_GB2312" w:cs="仿宋_GB2312" w:eastAsia="仿宋_GB2312"/>
                <w:sz w:val="32"/>
              </w:rPr>
              <w:t>赔偿，赔偿限额标准：天麻</w:t>
            </w:r>
            <w:r>
              <w:rPr>
                <w:rFonts w:ascii="仿宋_GB2312" w:hAnsi="仿宋_GB2312" w:cs="仿宋_GB2312" w:eastAsia="仿宋_GB2312"/>
                <w:sz w:val="32"/>
              </w:rPr>
              <w:t>2500元/亩</w:t>
            </w:r>
            <w:r>
              <w:rPr>
                <w:rFonts w:ascii="仿宋_GB2312" w:hAnsi="仿宋_GB2312" w:cs="仿宋_GB2312" w:eastAsia="仿宋_GB2312"/>
                <w:sz w:val="32"/>
              </w:rPr>
              <w:t>、黄精</w:t>
            </w:r>
            <w:r>
              <w:rPr>
                <w:rFonts w:ascii="仿宋_GB2312" w:hAnsi="仿宋_GB2312" w:cs="仿宋_GB2312" w:eastAsia="仿宋_GB2312"/>
                <w:sz w:val="32"/>
              </w:rPr>
              <w:t>2500元/亩，柴胡1500元/亩，桔梗1500元/亩，其它中药材2500元/亩。</w:t>
            </w:r>
          </w:p>
          <w:p>
            <w:pPr>
              <w:pStyle w:val="null3"/>
              <w:ind w:firstLine="640"/>
              <w:jc w:val="both"/>
            </w:pPr>
            <w:r>
              <w:rPr>
                <w:rFonts w:ascii="仿宋_GB2312" w:hAnsi="仿宋_GB2312" w:cs="仿宋_GB2312" w:eastAsia="仿宋_GB2312"/>
                <w:sz w:val="32"/>
              </w:rPr>
              <w:t>理赔方式：根据实际损失面积、损失程度并结合生长期对应的赔偿比例和免赔率计算赔偿。</w:t>
            </w:r>
          </w:p>
          <w:p>
            <w:pPr>
              <w:pStyle w:val="null3"/>
              <w:ind w:firstLine="640"/>
              <w:jc w:val="both"/>
            </w:pPr>
            <w:r>
              <w:rPr>
                <w:rFonts w:ascii="仿宋_GB2312" w:hAnsi="仿宋_GB2312" w:cs="仿宋_GB2312" w:eastAsia="仿宋_GB2312"/>
                <w:sz w:val="32"/>
              </w:rPr>
              <w:t>2.5</w:t>
            </w:r>
            <w:r>
              <w:rPr>
                <w:rFonts w:ascii="仿宋_GB2312" w:hAnsi="仿宋_GB2312" w:cs="仿宋_GB2312" w:eastAsia="仿宋_GB2312"/>
                <w:sz w:val="32"/>
              </w:rPr>
              <w:t>圈养牲畜</w:t>
            </w:r>
            <w:r>
              <w:rPr>
                <w:rFonts w:ascii="仿宋_GB2312" w:hAnsi="仿宋_GB2312" w:cs="仿宋_GB2312" w:eastAsia="仿宋_GB2312"/>
                <w:sz w:val="32"/>
              </w:rPr>
              <w:t>类死亡赔偿限额</w:t>
            </w:r>
          </w:p>
          <w:p>
            <w:pPr>
              <w:pStyle w:val="null3"/>
              <w:ind w:firstLine="640"/>
              <w:jc w:val="both"/>
            </w:pPr>
            <w:r>
              <w:rPr>
                <w:rFonts w:ascii="仿宋_GB2312" w:hAnsi="仿宋_GB2312" w:cs="仿宋_GB2312" w:eastAsia="仿宋_GB2312"/>
                <w:sz w:val="32"/>
              </w:rPr>
              <w:t>仔猪</w:t>
            </w:r>
            <w:r>
              <w:rPr>
                <w:rFonts w:ascii="仿宋_GB2312" w:hAnsi="仿宋_GB2312" w:cs="仿宋_GB2312" w:eastAsia="仿宋_GB2312"/>
                <w:sz w:val="32"/>
              </w:rPr>
              <w:t>（</w:t>
            </w:r>
            <w:r>
              <w:rPr>
                <w:rFonts w:ascii="仿宋_GB2312" w:hAnsi="仿宋_GB2312" w:cs="仿宋_GB2312" w:eastAsia="仿宋_GB2312"/>
                <w:sz w:val="32"/>
              </w:rPr>
              <w:t>30公斤以下</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00元／头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育肥猪</w:t>
            </w:r>
            <w:r>
              <w:rPr>
                <w:rFonts w:ascii="仿宋_GB2312" w:hAnsi="仿宋_GB2312" w:cs="仿宋_GB2312" w:eastAsia="仿宋_GB2312"/>
                <w:sz w:val="32"/>
              </w:rPr>
              <w:t>（</w:t>
            </w:r>
            <w:r>
              <w:rPr>
                <w:rFonts w:ascii="仿宋_GB2312" w:hAnsi="仿宋_GB2312" w:cs="仿宋_GB2312" w:eastAsia="仿宋_GB2312"/>
                <w:sz w:val="32"/>
              </w:rPr>
              <w:t>60公斤级以下</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00元／头，</w:t>
            </w:r>
            <w:r>
              <w:rPr>
                <w:rFonts w:ascii="仿宋_GB2312" w:hAnsi="仿宋_GB2312" w:cs="仿宋_GB2312" w:eastAsia="仿宋_GB2312"/>
                <w:sz w:val="32"/>
              </w:rPr>
              <w:t>60公斤以上800元/头；</w:t>
            </w:r>
          </w:p>
          <w:p>
            <w:pPr>
              <w:pStyle w:val="null3"/>
              <w:ind w:firstLine="640"/>
              <w:jc w:val="both"/>
            </w:pPr>
            <w:r>
              <w:rPr>
                <w:rFonts w:ascii="仿宋_GB2312" w:hAnsi="仿宋_GB2312" w:cs="仿宋_GB2312" w:eastAsia="仿宋_GB2312"/>
                <w:sz w:val="32"/>
              </w:rPr>
              <w:t>家禽（鸡、鸭、鹅等）：</w:t>
            </w:r>
            <w:r>
              <w:rPr>
                <w:rFonts w:ascii="仿宋_GB2312" w:hAnsi="仿宋_GB2312" w:cs="仿宋_GB2312" w:eastAsia="仿宋_GB2312"/>
                <w:sz w:val="32"/>
              </w:rPr>
              <w:t>5-50元/只</w:t>
            </w:r>
          </w:p>
          <w:p>
            <w:pPr>
              <w:pStyle w:val="null3"/>
              <w:ind w:firstLine="640"/>
              <w:jc w:val="both"/>
            </w:pPr>
            <w:r>
              <w:rPr>
                <w:rFonts w:ascii="仿宋_GB2312" w:hAnsi="仿宋_GB2312" w:cs="仿宋_GB2312" w:eastAsia="仿宋_GB2312"/>
                <w:sz w:val="32"/>
              </w:rPr>
              <w:t>能繁母猪：</w:t>
            </w:r>
            <w:r>
              <w:rPr>
                <w:rFonts w:ascii="仿宋_GB2312" w:hAnsi="仿宋_GB2312" w:cs="仿宋_GB2312" w:eastAsia="仿宋_GB2312"/>
                <w:sz w:val="32"/>
              </w:rPr>
              <w:t>100</w:t>
            </w:r>
            <w:r>
              <w:rPr>
                <w:rFonts w:ascii="仿宋_GB2312" w:hAnsi="仿宋_GB2312" w:cs="仿宋_GB2312" w:eastAsia="仿宋_GB2312"/>
                <w:sz w:val="32"/>
              </w:rPr>
              <w:t>0元／头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牛：齿龄</w:t>
            </w:r>
            <w:r>
              <w:rPr>
                <w:rFonts w:ascii="仿宋_GB2312" w:hAnsi="仿宋_GB2312" w:cs="仿宋_GB2312" w:eastAsia="仿宋_GB2312"/>
                <w:sz w:val="32"/>
              </w:rPr>
              <w:t>2年及以内1000元/头、齿龄2年以上2000元/头；</w:t>
            </w:r>
          </w:p>
          <w:p>
            <w:pPr>
              <w:pStyle w:val="null3"/>
              <w:ind w:firstLine="640"/>
              <w:jc w:val="both"/>
            </w:pPr>
            <w:r>
              <w:rPr>
                <w:rFonts w:ascii="仿宋_GB2312" w:hAnsi="仿宋_GB2312" w:cs="仿宋_GB2312" w:eastAsia="仿宋_GB2312"/>
                <w:sz w:val="32"/>
              </w:rPr>
              <w:t>羊：齿龄</w:t>
            </w:r>
            <w:r>
              <w:rPr>
                <w:rFonts w:ascii="仿宋_GB2312" w:hAnsi="仿宋_GB2312" w:cs="仿宋_GB2312" w:eastAsia="仿宋_GB2312"/>
                <w:sz w:val="32"/>
              </w:rPr>
              <w:t>1.5年及以内400元/只、齿龄1.5年以上800元/只；</w:t>
            </w:r>
          </w:p>
          <w:p>
            <w:pPr>
              <w:pStyle w:val="null3"/>
              <w:ind w:firstLine="640"/>
              <w:jc w:val="both"/>
            </w:pPr>
            <w:r>
              <w:rPr>
                <w:rFonts w:ascii="仿宋_GB2312" w:hAnsi="仿宋_GB2312" w:cs="仿宋_GB2312" w:eastAsia="仿宋_GB2312"/>
                <w:sz w:val="32"/>
              </w:rPr>
              <w:t>理赔条件和方式：养殖类圈养牲畜在遭受保险责任范围内的野生动物侵害致死后，理赔查勘时现场必须有可辨认的痕迹、受损动物尸体或可鉴别的残损物；受损致死的圈养牲畜，如尸体基本完好则理赔时需扣除</w:t>
            </w:r>
            <w:r>
              <w:rPr>
                <w:rFonts w:ascii="仿宋_GB2312" w:hAnsi="仿宋_GB2312" w:cs="仿宋_GB2312" w:eastAsia="仿宋_GB2312"/>
                <w:sz w:val="32"/>
              </w:rPr>
              <w:t>20%的残值，若被啃食后残余在60%及以上者扣除残值10%，低于60%则可不扣除残值。</w:t>
            </w:r>
          </w:p>
          <w:p>
            <w:pPr>
              <w:pStyle w:val="null3"/>
              <w:ind w:firstLine="640"/>
              <w:jc w:val="both"/>
            </w:pPr>
            <w:r>
              <w:rPr>
                <w:rFonts w:ascii="仿宋_GB2312" w:hAnsi="仿宋_GB2312" w:cs="仿宋_GB2312" w:eastAsia="仿宋_GB2312"/>
                <w:sz w:val="32"/>
              </w:rPr>
              <w:t>2.6中蜂：保险赔偿标准400元/箱</w:t>
            </w:r>
          </w:p>
          <w:p>
            <w:pPr>
              <w:pStyle w:val="null3"/>
              <w:ind w:firstLine="640"/>
              <w:jc w:val="both"/>
            </w:pPr>
            <w:r>
              <w:rPr>
                <w:rFonts w:ascii="仿宋_GB2312" w:hAnsi="仿宋_GB2312" w:cs="仿宋_GB2312" w:eastAsia="仿宋_GB2312"/>
                <w:sz w:val="32"/>
              </w:rPr>
              <w:t>保险赔款</w:t>
            </w:r>
            <w:r>
              <w:rPr>
                <w:rFonts w:ascii="仿宋_GB2312" w:hAnsi="仿宋_GB2312" w:cs="仿宋_GB2312" w:eastAsia="仿宋_GB2312"/>
                <w:sz w:val="32"/>
              </w:rPr>
              <w:t>=损失数量*损失程度*每箱保额400元；每户财产损失限额内，累计赔偿限额4000元/户·年。</w:t>
            </w:r>
          </w:p>
          <w:p>
            <w:pPr>
              <w:pStyle w:val="null3"/>
              <w:ind w:firstLine="640"/>
              <w:jc w:val="both"/>
            </w:pPr>
            <w:r>
              <w:rPr>
                <w:rFonts w:ascii="仿宋_GB2312" w:hAnsi="仿宋_GB2312" w:cs="仿宋_GB2312" w:eastAsia="仿宋_GB2312"/>
                <w:sz w:val="32"/>
                <w:color w:val="000000"/>
              </w:rPr>
              <w:t>2.7理赔区域负责承保硖口驿镇、黑河镇、接官亭镇、兴州街道办、五龙洞镇、观音寺镇、仙台坝镇、两河口镇8个镇（办）。</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标的名称：野生动物救助责任保险（9个镇）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20"/>
              <w:jc w:val="both"/>
            </w:pPr>
            <w:r>
              <w:rPr>
                <w:rFonts w:ascii="仿宋_GB2312" w:hAnsi="仿宋_GB2312" w:cs="仿宋_GB2312" w:eastAsia="仿宋_GB2312"/>
                <w:sz w:val="32"/>
              </w:rPr>
              <w:t>1、主要建设任务</w:t>
            </w:r>
          </w:p>
          <w:p>
            <w:pPr>
              <w:pStyle w:val="null3"/>
              <w:ind w:firstLine="640"/>
              <w:jc w:val="both"/>
            </w:pPr>
            <w:r>
              <w:rPr>
                <w:rFonts w:ascii="仿宋_GB2312" w:hAnsi="仿宋_GB2312" w:cs="仿宋_GB2312" w:eastAsia="仿宋_GB2312"/>
                <w:sz w:val="32"/>
              </w:rPr>
              <w:t>购买野生动物致害政府救助责任保险。</w:t>
            </w:r>
          </w:p>
          <w:p>
            <w:pPr>
              <w:pStyle w:val="null3"/>
              <w:ind w:firstLine="320"/>
              <w:jc w:val="both"/>
            </w:pPr>
            <w:r>
              <w:rPr>
                <w:rFonts w:ascii="仿宋_GB2312" w:hAnsi="仿宋_GB2312" w:cs="仿宋_GB2312" w:eastAsia="仿宋_GB2312"/>
                <w:sz w:val="32"/>
              </w:rPr>
              <w:t>2、保险服务要求如下：</w:t>
            </w:r>
          </w:p>
          <w:p>
            <w:pPr>
              <w:pStyle w:val="null3"/>
              <w:ind w:firstLine="640"/>
              <w:jc w:val="both"/>
            </w:pPr>
            <w:r>
              <w:rPr>
                <w:rFonts w:ascii="仿宋_GB2312" w:hAnsi="仿宋_GB2312" w:cs="仿宋_GB2312" w:eastAsia="仿宋_GB2312"/>
                <w:sz w:val="32"/>
              </w:rPr>
              <w:t>2.1受保障人员范围：本保险的受保障人员范围为</w:t>
            </w:r>
            <w:r>
              <w:rPr>
                <w:rFonts w:ascii="仿宋_GB2312" w:hAnsi="仿宋_GB2312" w:cs="仿宋_GB2312" w:eastAsia="仿宋_GB2312"/>
                <w:sz w:val="32"/>
              </w:rPr>
              <w:t>略阳县公安部门登记在册的户及自然人</w:t>
            </w:r>
            <w:r>
              <w:rPr>
                <w:rFonts w:ascii="仿宋_GB2312" w:hAnsi="仿宋_GB2312" w:cs="仿宋_GB2312" w:eastAsia="仿宋_GB2312"/>
                <w:sz w:val="32"/>
              </w:rPr>
              <w:t>、</w:t>
            </w:r>
            <w:r>
              <w:rPr>
                <w:rFonts w:ascii="仿宋_GB2312" w:hAnsi="仿宋_GB2312" w:cs="仿宋_GB2312" w:eastAsia="仿宋_GB2312"/>
                <w:sz w:val="32"/>
              </w:rPr>
              <w:t>在略阳县境内从事其它活动的流动人口。</w:t>
            </w:r>
          </w:p>
          <w:p>
            <w:pPr>
              <w:pStyle w:val="null3"/>
              <w:ind w:firstLine="640"/>
              <w:jc w:val="both"/>
            </w:pPr>
            <w:r>
              <w:rPr>
                <w:rFonts w:ascii="仿宋_GB2312" w:hAnsi="仿宋_GB2312" w:cs="仿宋_GB2312" w:eastAsia="仿宋_GB2312"/>
                <w:sz w:val="32"/>
              </w:rPr>
              <w:t>2.2保险责任范围：在保险期内，受保障人员遭受野生动物伤害导致人身伤亡或财产损失的。</w:t>
            </w:r>
          </w:p>
          <w:p>
            <w:pPr>
              <w:pStyle w:val="null3"/>
              <w:ind w:firstLine="640"/>
              <w:jc w:val="both"/>
            </w:pPr>
            <w:r>
              <w:rPr>
                <w:rFonts w:ascii="仿宋_GB2312" w:hAnsi="仿宋_GB2312" w:cs="仿宋_GB2312" w:eastAsia="仿宋_GB2312"/>
                <w:sz w:val="32"/>
                <w:color w:val="000000"/>
              </w:rPr>
              <w:t>2.3赔偿标准</w:t>
            </w:r>
          </w:p>
          <w:p>
            <w:pPr>
              <w:pStyle w:val="null3"/>
              <w:ind w:firstLine="640"/>
              <w:jc w:val="both"/>
            </w:pPr>
            <w:r>
              <w:rPr>
                <w:rFonts w:ascii="仿宋_GB2312" w:hAnsi="仿宋_GB2312" w:cs="仿宋_GB2312" w:eastAsia="仿宋_GB2312"/>
                <w:sz w:val="32"/>
              </w:rPr>
              <w:t>保险事故发生后，</w:t>
            </w:r>
            <w:r>
              <w:rPr>
                <w:rFonts w:ascii="仿宋_GB2312" w:hAnsi="仿宋_GB2312" w:cs="仿宋_GB2312" w:eastAsia="仿宋_GB2312"/>
                <w:sz w:val="32"/>
              </w:rPr>
              <w:t>承保人</w:t>
            </w:r>
            <w:r>
              <w:rPr>
                <w:rFonts w:ascii="仿宋_GB2312" w:hAnsi="仿宋_GB2312" w:cs="仿宋_GB2312" w:eastAsia="仿宋_GB2312"/>
                <w:sz w:val="32"/>
              </w:rPr>
              <w:t>对受害人给付的救助金，</w:t>
            </w:r>
            <w:r>
              <w:rPr>
                <w:rFonts w:ascii="仿宋_GB2312" w:hAnsi="仿宋_GB2312" w:cs="仿宋_GB2312" w:eastAsia="仿宋_GB2312"/>
                <w:sz w:val="32"/>
              </w:rPr>
              <w:t>承保人</w:t>
            </w:r>
            <w:r>
              <w:rPr>
                <w:rFonts w:ascii="仿宋_GB2312" w:hAnsi="仿宋_GB2312" w:cs="仿宋_GB2312" w:eastAsia="仿宋_GB2312"/>
                <w:sz w:val="32"/>
              </w:rPr>
              <w:t>按照以下方式计算赔偿：</w:t>
            </w:r>
          </w:p>
          <w:p>
            <w:pPr>
              <w:pStyle w:val="null3"/>
              <w:ind w:firstLine="640"/>
              <w:jc w:val="both"/>
            </w:pPr>
            <w:r>
              <w:rPr>
                <w:rFonts w:ascii="仿宋_GB2312" w:hAnsi="仿宋_GB2312" w:cs="仿宋_GB2312" w:eastAsia="仿宋_GB2312"/>
                <w:sz w:val="32"/>
              </w:rPr>
              <w:t>人身致害</w:t>
            </w:r>
          </w:p>
          <w:p>
            <w:pPr>
              <w:pStyle w:val="null3"/>
              <w:ind w:firstLine="640"/>
              <w:jc w:val="both"/>
            </w:pPr>
            <w:r>
              <w:rPr>
                <w:rFonts w:ascii="仿宋_GB2312" w:hAnsi="仿宋_GB2312" w:cs="仿宋_GB2312" w:eastAsia="仿宋_GB2312"/>
                <w:sz w:val="32"/>
              </w:rPr>
              <w:t>每次事故伤残、死亡赔偿限额</w:t>
            </w:r>
          </w:p>
          <w:p>
            <w:pPr>
              <w:pStyle w:val="null3"/>
              <w:ind w:firstLine="640"/>
              <w:jc w:val="both"/>
            </w:pPr>
            <w:r>
              <w:rPr>
                <w:rFonts w:ascii="仿宋_GB2312" w:hAnsi="仿宋_GB2312" w:cs="仿宋_GB2312" w:eastAsia="仿宋_GB2312"/>
                <w:sz w:val="32"/>
              </w:rPr>
              <w:t>死亡赔偿限额：</w:t>
            </w:r>
            <w:r>
              <w:rPr>
                <w:rFonts w:ascii="仿宋_GB2312" w:hAnsi="仿宋_GB2312" w:cs="仿宋_GB2312" w:eastAsia="仿宋_GB2312"/>
                <w:sz w:val="32"/>
              </w:rPr>
              <w:t>20.00万元/人</w:t>
            </w:r>
          </w:p>
          <w:p>
            <w:pPr>
              <w:pStyle w:val="null3"/>
              <w:ind w:firstLine="640"/>
              <w:jc w:val="both"/>
            </w:pPr>
            <w:r>
              <w:rPr>
                <w:rFonts w:ascii="仿宋_GB2312" w:hAnsi="仿宋_GB2312" w:cs="仿宋_GB2312" w:eastAsia="仿宋_GB2312"/>
                <w:sz w:val="32"/>
              </w:rPr>
              <w:t>伤残赔偿：每人</w:t>
            </w:r>
            <w:r>
              <w:rPr>
                <w:rFonts w:ascii="仿宋_GB2312" w:hAnsi="仿宋_GB2312" w:cs="仿宋_GB2312" w:eastAsia="仿宋_GB2312"/>
                <w:sz w:val="32"/>
              </w:rPr>
              <w:t>伤残死亡</w:t>
            </w:r>
            <w:r>
              <w:rPr>
                <w:rFonts w:ascii="仿宋_GB2312" w:hAnsi="仿宋_GB2312" w:cs="仿宋_GB2312" w:eastAsia="仿宋_GB2312"/>
                <w:sz w:val="32"/>
              </w:rPr>
              <w:t>赔偿限额</w:t>
            </w:r>
            <w:r>
              <w:rPr>
                <w:rFonts w:ascii="仿宋_GB2312" w:hAnsi="仿宋_GB2312" w:cs="仿宋_GB2312" w:eastAsia="仿宋_GB2312"/>
                <w:sz w:val="32"/>
              </w:rPr>
              <w:t>20万元*伤残评定等级对应赔偿比例（%）</w:t>
            </w:r>
          </w:p>
          <w:p>
            <w:pPr>
              <w:pStyle w:val="null3"/>
              <w:ind w:firstLine="640"/>
              <w:jc w:val="center"/>
            </w:pPr>
            <w:r>
              <w:rPr>
                <w:rFonts w:ascii="仿宋_GB2312" w:hAnsi="仿宋_GB2312" w:cs="仿宋_GB2312" w:eastAsia="仿宋_GB2312"/>
                <w:sz w:val="32"/>
              </w:rPr>
              <w:t>伤残等级赔偿比例表</w:t>
            </w:r>
          </w:p>
          <w:tbl>
            <w:tblPr>
              <w:tblBorders>
                <w:top w:val="none" w:color="000000" w:sz="4"/>
                <w:left w:val="none" w:color="000000" w:sz="4"/>
                <w:bottom w:val="none" w:color="000000" w:sz="4"/>
                <w:right w:val="none" w:color="000000" w:sz="4"/>
                <w:insideH w:val="none"/>
                <w:insideV w:val="none"/>
              </w:tblBorders>
            </w:tblPr>
            <w:tblGrid>
              <w:gridCol w:w="300"/>
              <w:gridCol w:w="1037"/>
              <w:gridCol w:w="121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项目</w:t>
                  </w:r>
                </w:p>
              </w:tc>
              <w:tc>
                <w:tcPr>
                  <w:tcW w:type="dxa" w:w="10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伤残程度</w:t>
                  </w:r>
                </w:p>
              </w:tc>
              <w:tc>
                <w:tcPr>
                  <w:tcW w:type="dxa" w:w="1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赔偿比例（按每人人身伤亡责任限额的</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（一）</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永久丧失工作能力或一级伤残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100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（二）</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二级伤残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90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（三）</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三级伤残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80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（四）</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四级伤残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70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（五）</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五级伤残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60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（六）</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六级伤残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50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（七）</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七级伤残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40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（八）</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八级伤残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30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（九）</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九级伤残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（十）</w:t>
                  </w:r>
                </w:p>
              </w:tc>
              <w:tc>
                <w:tcPr>
                  <w:tcW w:type="dxa" w:w="10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十级伤残</w:t>
                  </w:r>
                </w:p>
              </w:tc>
              <w:tc>
                <w:tcPr>
                  <w:tcW w:type="dxa" w:w="1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10</w:t>
                  </w:r>
                  <w:r>
                    <w:rPr>
                      <w:rFonts w:ascii="仿宋_GB2312" w:hAnsi="仿宋_GB2312" w:cs="仿宋_GB2312" w:eastAsia="仿宋_GB2312"/>
                      <w:sz w:val="32"/>
                    </w:rPr>
                    <w:t>%</w:t>
                  </w:r>
                </w:p>
              </w:tc>
            </w:tr>
          </w:tbl>
          <w:p>
            <w:pPr>
              <w:pStyle w:val="null3"/>
              <w:ind w:firstLine="640"/>
              <w:jc w:val="both"/>
            </w:pPr>
            <w:r>
              <w:rPr>
                <w:rFonts w:ascii="仿宋_GB2312" w:hAnsi="仿宋_GB2312" w:cs="仿宋_GB2312" w:eastAsia="仿宋_GB2312"/>
                <w:sz w:val="32"/>
              </w:rPr>
              <w:t>每次事故每人医疗费责任限额</w:t>
            </w:r>
            <w:r>
              <w:rPr>
                <w:rFonts w:ascii="仿宋_GB2312" w:hAnsi="仿宋_GB2312" w:cs="仿宋_GB2312" w:eastAsia="仿宋_GB2312"/>
                <w:sz w:val="32"/>
              </w:rPr>
              <w:t>：</w:t>
            </w:r>
            <w:r>
              <w:rPr>
                <w:rFonts w:ascii="仿宋_GB2312" w:hAnsi="仿宋_GB2312" w:cs="仿宋_GB2312" w:eastAsia="仿宋_GB2312"/>
                <w:sz w:val="32"/>
              </w:rPr>
              <w:t>1万元</w:t>
            </w:r>
          </w:p>
          <w:p>
            <w:pPr>
              <w:pStyle w:val="null3"/>
              <w:ind w:firstLine="640"/>
              <w:jc w:val="both"/>
            </w:pPr>
            <w:r>
              <w:rPr>
                <w:rFonts w:ascii="仿宋_GB2312" w:hAnsi="仿宋_GB2312" w:cs="仿宋_GB2312" w:eastAsia="仿宋_GB2312"/>
                <w:sz w:val="32"/>
              </w:rPr>
              <w:t>每人每次事故医疗费用</w:t>
            </w:r>
            <w:r>
              <w:rPr>
                <w:rFonts w:ascii="仿宋_GB2312" w:hAnsi="仿宋_GB2312" w:cs="仿宋_GB2312" w:eastAsia="仿宋_GB2312"/>
                <w:sz w:val="32"/>
              </w:rPr>
              <w:t>（在医保用药及费用目录范围内）</w:t>
            </w:r>
            <w:r>
              <w:rPr>
                <w:rFonts w:ascii="仿宋_GB2312" w:hAnsi="仿宋_GB2312" w:cs="仿宋_GB2312" w:eastAsia="仿宋_GB2312"/>
                <w:sz w:val="32"/>
              </w:rPr>
              <w:t>免赔</w:t>
            </w:r>
            <w:r>
              <w:rPr>
                <w:rFonts w:ascii="仿宋_GB2312" w:hAnsi="仿宋_GB2312" w:cs="仿宋_GB2312" w:eastAsia="仿宋_GB2312"/>
                <w:sz w:val="32"/>
              </w:rPr>
              <w:t>100</w:t>
            </w:r>
            <w:r>
              <w:rPr>
                <w:rFonts w:ascii="仿宋_GB2312" w:hAnsi="仿宋_GB2312" w:cs="仿宋_GB2312" w:eastAsia="仿宋_GB2312"/>
                <w:sz w:val="32"/>
              </w:rPr>
              <w:t>元</w:t>
            </w:r>
            <w:r>
              <w:rPr>
                <w:rFonts w:ascii="仿宋_GB2312" w:hAnsi="仿宋_GB2312" w:cs="仿宋_GB2312" w:eastAsia="仿宋_GB2312"/>
                <w:sz w:val="32"/>
              </w:rPr>
              <w:t>后</w:t>
            </w:r>
            <w:r>
              <w:rPr>
                <w:rFonts w:ascii="仿宋_GB2312" w:hAnsi="仿宋_GB2312" w:cs="仿宋_GB2312" w:eastAsia="仿宋_GB2312"/>
                <w:sz w:val="32"/>
              </w:rPr>
              <w:t>剩余部分按</w:t>
            </w:r>
            <w:r>
              <w:rPr>
                <w:rFonts w:ascii="仿宋_GB2312" w:hAnsi="仿宋_GB2312" w:cs="仿宋_GB2312" w:eastAsia="仿宋_GB2312"/>
                <w:sz w:val="32"/>
              </w:rPr>
              <w:t>90</w:t>
            </w:r>
            <w:r>
              <w:rPr>
                <w:rFonts w:ascii="仿宋_GB2312" w:hAnsi="仿宋_GB2312" w:cs="仿宋_GB2312" w:eastAsia="仿宋_GB2312"/>
                <w:sz w:val="32"/>
              </w:rPr>
              <w:t>%</w:t>
            </w:r>
            <w:r>
              <w:rPr>
                <w:rFonts w:ascii="仿宋_GB2312" w:hAnsi="仿宋_GB2312" w:cs="仿宋_GB2312" w:eastAsia="仿宋_GB2312"/>
                <w:sz w:val="32"/>
              </w:rPr>
              <w:t>赔付；</w:t>
            </w:r>
          </w:p>
          <w:p>
            <w:pPr>
              <w:pStyle w:val="null3"/>
              <w:ind w:firstLine="640"/>
              <w:jc w:val="both"/>
            </w:pPr>
            <w:r>
              <w:rPr>
                <w:rFonts w:ascii="仿宋_GB2312" w:hAnsi="仿宋_GB2312" w:cs="仿宋_GB2312" w:eastAsia="仿宋_GB2312"/>
                <w:sz w:val="32"/>
              </w:rPr>
              <w:t>医疗费用经农合、居民医保等渠道报销后，剩余部分凭</w:t>
            </w:r>
            <w:r>
              <w:rPr>
                <w:rFonts w:ascii="仿宋_GB2312" w:hAnsi="仿宋_GB2312" w:cs="仿宋_GB2312" w:eastAsia="仿宋_GB2312"/>
                <w:sz w:val="32"/>
              </w:rPr>
              <w:t>报销</w:t>
            </w:r>
            <w:r>
              <w:rPr>
                <w:rFonts w:ascii="仿宋_GB2312" w:hAnsi="仿宋_GB2312" w:cs="仿宋_GB2312" w:eastAsia="仿宋_GB2312"/>
                <w:sz w:val="32"/>
              </w:rPr>
              <w:t>证明和医疗费用发票复印件由保险公司赔付。</w:t>
            </w:r>
          </w:p>
          <w:p>
            <w:pPr>
              <w:pStyle w:val="null3"/>
              <w:ind w:firstLine="640"/>
              <w:jc w:val="both"/>
            </w:pPr>
            <w:r>
              <w:rPr>
                <w:rFonts w:ascii="仿宋_GB2312" w:hAnsi="仿宋_GB2312" w:cs="仿宋_GB2312" w:eastAsia="仿宋_GB2312"/>
                <w:sz w:val="32"/>
              </w:rPr>
              <w:t>2.4</w:t>
            </w:r>
            <w:r>
              <w:rPr>
                <w:rFonts w:ascii="仿宋_GB2312" w:hAnsi="仿宋_GB2312" w:cs="仿宋_GB2312" w:eastAsia="仿宋_GB2312"/>
                <w:sz w:val="32"/>
              </w:rPr>
              <w:t>财产类损失赔偿限额、范围及赔偿处理方式</w:t>
            </w:r>
          </w:p>
          <w:p>
            <w:pPr>
              <w:pStyle w:val="null3"/>
              <w:ind w:firstLine="640"/>
              <w:jc w:val="both"/>
            </w:pPr>
            <w:r>
              <w:rPr>
                <w:rFonts w:ascii="仿宋_GB2312" w:hAnsi="仿宋_GB2312" w:cs="仿宋_GB2312" w:eastAsia="仿宋_GB2312"/>
                <w:sz w:val="32"/>
              </w:rPr>
              <w:t>财产类损失部分每户累计赔偿限额：</w:t>
            </w:r>
            <w:r>
              <w:rPr>
                <w:rFonts w:ascii="仿宋_GB2312" w:hAnsi="仿宋_GB2312" w:cs="仿宋_GB2312" w:eastAsia="仿宋_GB2312"/>
                <w:sz w:val="32"/>
              </w:rPr>
              <w:t>1.0万元/户·年种植业作物类</w:t>
            </w:r>
          </w:p>
          <w:p>
            <w:pPr>
              <w:pStyle w:val="null3"/>
              <w:ind w:firstLine="640"/>
              <w:jc w:val="both"/>
            </w:pPr>
            <w:r>
              <w:rPr>
                <w:rFonts w:ascii="仿宋_GB2312" w:hAnsi="仿宋_GB2312" w:cs="仿宋_GB2312" w:eastAsia="仿宋_GB2312"/>
                <w:sz w:val="32"/>
              </w:rPr>
              <w:t>农作物：玉米</w:t>
            </w:r>
            <w:r>
              <w:rPr>
                <w:rFonts w:ascii="仿宋_GB2312" w:hAnsi="仿宋_GB2312" w:cs="仿宋_GB2312" w:eastAsia="仿宋_GB2312"/>
                <w:sz w:val="32"/>
              </w:rPr>
              <w:t>450元/亩，</w:t>
            </w:r>
            <w:r>
              <w:rPr>
                <w:rFonts w:ascii="仿宋_GB2312" w:hAnsi="仿宋_GB2312" w:cs="仿宋_GB2312" w:eastAsia="仿宋_GB2312"/>
                <w:sz w:val="32"/>
              </w:rPr>
              <w:t>小麦</w:t>
            </w:r>
            <w:r>
              <w:rPr>
                <w:rFonts w:ascii="仿宋_GB2312" w:hAnsi="仿宋_GB2312" w:cs="仿宋_GB2312" w:eastAsia="仿宋_GB2312"/>
                <w:sz w:val="32"/>
              </w:rPr>
              <w:t>450元/亩，</w:t>
            </w:r>
            <w:r>
              <w:rPr>
                <w:rFonts w:ascii="仿宋_GB2312" w:hAnsi="仿宋_GB2312" w:cs="仿宋_GB2312" w:eastAsia="仿宋_GB2312"/>
                <w:sz w:val="32"/>
              </w:rPr>
              <w:t>水稻</w:t>
            </w:r>
            <w:r>
              <w:rPr>
                <w:rFonts w:ascii="仿宋_GB2312" w:hAnsi="仿宋_GB2312" w:cs="仿宋_GB2312" w:eastAsia="仿宋_GB2312"/>
                <w:sz w:val="32"/>
              </w:rPr>
              <w:t>450元/亩，</w:t>
            </w:r>
            <w:r>
              <w:rPr>
                <w:rFonts w:ascii="仿宋_GB2312" w:hAnsi="仿宋_GB2312" w:cs="仿宋_GB2312" w:eastAsia="仿宋_GB2312"/>
                <w:sz w:val="32"/>
              </w:rPr>
              <w:t>油菜</w:t>
            </w:r>
            <w:r>
              <w:rPr>
                <w:rFonts w:ascii="仿宋_GB2312" w:hAnsi="仿宋_GB2312" w:cs="仿宋_GB2312" w:eastAsia="仿宋_GB2312"/>
                <w:sz w:val="32"/>
              </w:rPr>
              <w:t>350元/亩，</w:t>
            </w:r>
            <w:r>
              <w:rPr>
                <w:rFonts w:ascii="仿宋_GB2312" w:hAnsi="仿宋_GB2312" w:cs="仿宋_GB2312" w:eastAsia="仿宋_GB2312"/>
                <w:sz w:val="32"/>
              </w:rPr>
              <w:t>土豆</w:t>
            </w:r>
            <w:r>
              <w:rPr>
                <w:rFonts w:ascii="仿宋_GB2312" w:hAnsi="仿宋_GB2312" w:cs="仿宋_GB2312" w:eastAsia="仿宋_GB2312"/>
                <w:sz w:val="32"/>
              </w:rPr>
              <w:t>350元/亩，</w:t>
            </w:r>
            <w:r>
              <w:rPr>
                <w:rFonts w:ascii="仿宋_GB2312" w:hAnsi="仿宋_GB2312" w:cs="仿宋_GB2312" w:eastAsia="仿宋_GB2312"/>
                <w:sz w:val="32"/>
              </w:rPr>
              <w:t>大豆</w:t>
            </w:r>
            <w:r>
              <w:rPr>
                <w:rFonts w:ascii="仿宋_GB2312" w:hAnsi="仿宋_GB2312" w:cs="仿宋_GB2312" w:eastAsia="仿宋_GB2312"/>
                <w:sz w:val="32"/>
              </w:rPr>
              <w:t>350元/亩，</w:t>
            </w:r>
            <w:r>
              <w:rPr>
                <w:rFonts w:ascii="仿宋_GB2312" w:hAnsi="仿宋_GB2312" w:cs="仿宋_GB2312" w:eastAsia="仿宋_GB2312"/>
                <w:sz w:val="32"/>
              </w:rPr>
              <w:t>魔芋</w:t>
            </w:r>
            <w:r>
              <w:rPr>
                <w:rFonts w:ascii="仿宋_GB2312" w:hAnsi="仿宋_GB2312" w:cs="仿宋_GB2312" w:eastAsia="仿宋_GB2312"/>
                <w:sz w:val="32"/>
              </w:rPr>
              <w:t>450元/亩，</w:t>
            </w:r>
            <w:r>
              <w:rPr>
                <w:rFonts w:ascii="仿宋_GB2312" w:hAnsi="仿宋_GB2312" w:cs="仿宋_GB2312" w:eastAsia="仿宋_GB2312"/>
                <w:sz w:val="32"/>
              </w:rPr>
              <w:t>其</w:t>
            </w:r>
            <w:r>
              <w:rPr>
                <w:rFonts w:ascii="仿宋_GB2312" w:hAnsi="仿宋_GB2312" w:cs="仿宋_GB2312" w:eastAsia="仿宋_GB2312"/>
                <w:sz w:val="32"/>
              </w:rPr>
              <w:t>它</w:t>
            </w:r>
            <w:r>
              <w:rPr>
                <w:rFonts w:ascii="仿宋_GB2312" w:hAnsi="仿宋_GB2312" w:cs="仿宋_GB2312" w:eastAsia="仿宋_GB2312"/>
                <w:sz w:val="32"/>
              </w:rPr>
              <w:t>农</w:t>
            </w:r>
            <w:r>
              <w:rPr>
                <w:rFonts w:ascii="仿宋_GB2312" w:hAnsi="仿宋_GB2312" w:cs="仿宋_GB2312" w:eastAsia="仿宋_GB2312"/>
                <w:sz w:val="32"/>
              </w:rPr>
              <w:t>作物</w:t>
            </w:r>
            <w:r>
              <w:rPr>
                <w:rFonts w:ascii="仿宋_GB2312" w:hAnsi="仿宋_GB2312" w:cs="仿宋_GB2312" w:eastAsia="仿宋_GB2312"/>
                <w:sz w:val="32"/>
              </w:rPr>
              <w:t>350元/亩。</w:t>
            </w:r>
          </w:p>
          <w:p>
            <w:pPr>
              <w:pStyle w:val="null3"/>
              <w:ind w:firstLine="640"/>
              <w:jc w:val="both"/>
            </w:pPr>
            <w:r>
              <w:rPr>
                <w:rFonts w:ascii="仿宋_GB2312" w:hAnsi="仿宋_GB2312" w:cs="仿宋_GB2312" w:eastAsia="仿宋_GB2312"/>
                <w:sz w:val="32"/>
              </w:rPr>
              <w:t>中药</w:t>
            </w:r>
            <w:r>
              <w:rPr>
                <w:rFonts w:ascii="仿宋_GB2312" w:hAnsi="仿宋_GB2312" w:cs="仿宋_GB2312" w:eastAsia="仿宋_GB2312"/>
                <w:sz w:val="32"/>
              </w:rPr>
              <w:t>材：中药材损失</w:t>
            </w:r>
            <w:r>
              <w:rPr>
                <w:rFonts w:ascii="仿宋_GB2312" w:hAnsi="仿宋_GB2312" w:cs="仿宋_GB2312" w:eastAsia="仿宋_GB2312"/>
                <w:sz w:val="32"/>
              </w:rPr>
              <w:t>0.2亩（含）以上按实际损失</w:t>
            </w:r>
            <w:r>
              <w:rPr>
                <w:rFonts w:ascii="仿宋_GB2312" w:hAnsi="仿宋_GB2312" w:cs="仿宋_GB2312" w:eastAsia="仿宋_GB2312"/>
                <w:sz w:val="32"/>
              </w:rPr>
              <w:t>计算</w:t>
            </w:r>
            <w:r>
              <w:rPr>
                <w:rFonts w:ascii="仿宋_GB2312" w:hAnsi="仿宋_GB2312" w:cs="仿宋_GB2312" w:eastAsia="仿宋_GB2312"/>
                <w:sz w:val="32"/>
              </w:rPr>
              <w:t>赔偿，赔偿限额标准：天麻</w:t>
            </w:r>
            <w:r>
              <w:rPr>
                <w:rFonts w:ascii="仿宋_GB2312" w:hAnsi="仿宋_GB2312" w:cs="仿宋_GB2312" w:eastAsia="仿宋_GB2312"/>
                <w:sz w:val="32"/>
              </w:rPr>
              <w:t>2500元/亩</w:t>
            </w:r>
            <w:r>
              <w:rPr>
                <w:rFonts w:ascii="仿宋_GB2312" w:hAnsi="仿宋_GB2312" w:cs="仿宋_GB2312" w:eastAsia="仿宋_GB2312"/>
                <w:sz w:val="32"/>
              </w:rPr>
              <w:t>、黄精</w:t>
            </w:r>
            <w:r>
              <w:rPr>
                <w:rFonts w:ascii="仿宋_GB2312" w:hAnsi="仿宋_GB2312" w:cs="仿宋_GB2312" w:eastAsia="仿宋_GB2312"/>
                <w:sz w:val="32"/>
              </w:rPr>
              <w:t>2500元/亩，柴胡1500元/亩，桔梗1500元/亩，其它中药材2500元/亩。</w:t>
            </w:r>
          </w:p>
          <w:p>
            <w:pPr>
              <w:pStyle w:val="null3"/>
              <w:ind w:firstLine="640"/>
              <w:jc w:val="both"/>
            </w:pPr>
            <w:r>
              <w:rPr>
                <w:rFonts w:ascii="仿宋_GB2312" w:hAnsi="仿宋_GB2312" w:cs="仿宋_GB2312" w:eastAsia="仿宋_GB2312"/>
                <w:sz w:val="32"/>
              </w:rPr>
              <w:t>理赔方式：根据实际损失面积、损失程度并结合生长期对应的赔偿比例和免赔率计算赔偿。</w:t>
            </w:r>
          </w:p>
          <w:p>
            <w:pPr>
              <w:pStyle w:val="null3"/>
              <w:ind w:firstLine="640"/>
              <w:jc w:val="both"/>
            </w:pPr>
            <w:r>
              <w:rPr>
                <w:rFonts w:ascii="仿宋_GB2312" w:hAnsi="仿宋_GB2312" w:cs="仿宋_GB2312" w:eastAsia="仿宋_GB2312"/>
                <w:sz w:val="32"/>
              </w:rPr>
              <w:t>2.5</w:t>
            </w:r>
            <w:r>
              <w:rPr>
                <w:rFonts w:ascii="仿宋_GB2312" w:hAnsi="仿宋_GB2312" w:cs="仿宋_GB2312" w:eastAsia="仿宋_GB2312"/>
                <w:sz w:val="32"/>
              </w:rPr>
              <w:t>圈养牲畜</w:t>
            </w:r>
            <w:r>
              <w:rPr>
                <w:rFonts w:ascii="仿宋_GB2312" w:hAnsi="仿宋_GB2312" w:cs="仿宋_GB2312" w:eastAsia="仿宋_GB2312"/>
                <w:sz w:val="32"/>
              </w:rPr>
              <w:t>类死亡赔偿限额</w:t>
            </w:r>
          </w:p>
          <w:p>
            <w:pPr>
              <w:pStyle w:val="null3"/>
              <w:ind w:firstLine="640"/>
              <w:jc w:val="both"/>
            </w:pPr>
            <w:r>
              <w:rPr>
                <w:rFonts w:ascii="仿宋_GB2312" w:hAnsi="仿宋_GB2312" w:cs="仿宋_GB2312" w:eastAsia="仿宋_GB2312"/>
                <w:sz w:val="32"/>
              </w:rPr>
              <w:t>仔猪</w:t>
            </w:r>
            <w:r>
              <w:rPr>
                <w:rFonts w:ascii="仿宋_GB2312" w:hAnsi="仿宋_GB2312" w:cs="仿宋_GB2312" w:eastAsia="仿宋_GB2312"/>
                <w:sz w:val="32"/>
              </w:rPr>
              <w:t>（</w:t>
            </w:r>
            <w:r>
              <w:rPr>
                <w:rFonts w:ascii="仿宋_GB2312" w:hAnsi="仿宋_GB2312" w:cs="仿宋_GB2312" w:eastAsia="仿宋_GB2312"/>
                <w:sz w:val="32"/>
              </w:rPr>
              <w:t>30公斤以下</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00元／头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育肥猪</w:t>
            </w:r>
            <w:r>
              <w:rPr>
                <w:rFonts w:ascii="仿宋_GB2312" w:hAnsi="仿宋_GB2312" w:cs="仿宋_GB2312" w:eastAsia="仿宋_GB2312"/>
                <w:sz w:val="32"/>
              </w:rPr>
              <w:t>（</w:t>
            </w:r>
            <w:r>
              <w:rPr>
                <w:rFonts w:ascii="仿宋_GB2312" w:hAnsi="仿宋_GB2312" w:cs="仿宋_GB2312" w:eastAsia="仿宋_GB2312"/>
                <w:sz w:val="32"/>
              </w:rPr>
              <w:t>60公斤级以下</w:t>
            </w:r>
            <w:r>
              <w:rPr>
                <w:rFonts w:ascii="仿宋_GB2312" w:hAnsi="仿宋_GB2312" w:cs="仿宋_GB2312" w:eastAsia="仿宋_GB2312"/>
                <w:sz w:val="32"/>
              </w:rPr>
              <w:t>）</w:t>
            </w:r>
            <w:r>
              <w:rPr>
                <w:rFonts w:ascii="仿宋_GB2312" w:hAnsi="仿宋_GB2312" w:cs="仿宋_GB2312" w:eastAsia="仿宋_GB2312"/>
                <w:sz w:val="32"/>
              </w:rPr>
              <w:t>：</w:t>
            </w:r>
            <w:r>
              <w:rPr>
                <w:rFonts w:ascii="仿宋_GB2312" w:hAnsi="仿宋_GB2312" w:cs="仿宋_GB2312" w:eastAsia="仿宋_GB2312"/>
                <w:sz w:val="32"/>
              </w:rPr>
              <w:t>4</w:t>
            </w:r>
            <w:r>
              <w:rPr>
                <w:rFonts w:ascii="仿宋_GB2312" w:hAnsi="仿宋_GB2312" w:cs="仿宋_GB2312" w:eastAsia="仿宋_GB2312"/>
                <w:sz w:val="32"/>
              </w:rPr>
              <w:t>00元／头，</w:t>
            </w:r>
            <w:r>
              <w:rPr>
                <w:rFonts w:ascii="仿宋_GB2312" w:hAnsi="仿宋_GB2312" w:cs="仿宋_GB2312" w:eastAsia="仿宋_GB2312"/>
                <w:sz w:val="32"/>
              </w:rPr>
              <w:t>60公斤以上800元/头；</w:t>
            </w:r>
          </w:p>
          <w:p>
            <w:pPr>
              <w:pStyle w:val="null3"/>
              <w:ind w:firstLine="640"/>
              <w:jc w:val="both"/>
            </w:pPr>
            <w:r>
              <w:rPr>
                <w:rFonts w:ascii="仿宋_GB2312" w:hAnsi="仿宋_GB2312" w:cs="仿宋_GB2312" w:eastAsia="仿宋_GB2312"/>
                <w:sz w:val="32"/>
              </w:rPr>
              <w:t>家禽（鸡、鸭、鹅等）：</w:t>
            </w:r>
            <w:r>
              <w:rPr>
                <w:rFonts w:ascii="仿宋_GB2312" w:hAnsi="仿宋_GB2312" w:cs="仿宋_GB2312" w:eastAsia="仿宋_GB2312"/>
                <w:sz w:val="32"/>
              </w:rPr>
              <w:t>5-50元/只</w:t>
            </w:r>
          </w:p>
          <w:p>
            <w:pPr>
              <w:pStyle w:val="null3"/>
              <w:ind w:firstLine="640"/>
              <w:jc w:val="both"/>
            </w:pPr>
            <w:r>
              <w:rPr>
                <w:rFonts w:ascii="仿宋_GB2312" w:hAnsi="仿宋_GB2312" w:cs="仿宋_GB2312" w:eastAsia="仿宋_GB2312"/>
                <w:sz w:val="32"/>
              </w:rPr>
              <w:t>能繁母猪：</w:t>
            </w:r>
            <w:r>
              <w:rPr>
                <w:rFonts w:ascii="仿宋_GB2312" w:hAnsi="仿宋_GB2312" w:cs="仿宋_GB2312" w:eastAsia="仿宋_GB2312"/>
                <w:sz w:val="32"/>
              </w:rPr>
              <w:t>100</w:t>
            </w:r>
            <w:r>
              <w:rPr>
                <w:rFonts w:ascii="仿宋_GB2312" w:hAnsi="仿宋_GB2312" w:cs="仿宋_GB2312" w:eastAsia="仿宋_GB2312"/>
                <w:sz w:val="32"/>
              </w:rPr>
              <w:t>0元／头</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牛：齿龄</w:t>
            </w:r>
            <w:r>
              <w:rPr>
                <w:rFonts w:ascii="仿宋_GB2312" w:hAnsi="仿宋_GB2312" w:cs="仿宋_GB2312" w:eastAsia="仿宋_GB2312"/>
                <w:sz w:val="32"/>
              </w:rPr>
              <w:t>2年及以内1000元/头、齿龄2年以上2000元/头；</w:t>
            </w:r>
          </w:p>
          <w:p>
            <w:pPr>
              <w:pStyle w:val="null3"/>
              <w:ind w:firstLine="640"/>
              <w:jc w:val="both"/>
            </w:pPr>
            <w:r>
              <w:rPr>
                <w:rFonts w:ascii="仿宋_GB2312" w:hAnsi="仿宋_GB2312" w:cs="仿宋_GB2312" w:eastAsia="仿宋_GB2312"/>
                <w:sz w:val="32"/>
              </w:rPr>
              <w:t>羊：齿龄</w:t>
            </w:r>
            <w:r>
              <w:rPr>
                <w:rFonts w:ascii="仿宋_GB2312" w:hAnsi="仿宋_GB2312" w:cs="仿宋_GB2312" w:eastAsia="仿宋_GB2312"/>
                <w:sz w:val="32"/>
              </w:rPr>
              <w:t>1.5年及以内400元/只、齿龄1.5年以上800元/只；</w:t>
            </w:r>
          </w:p>
          <w:p>
            <w:pPr>
              <w:pStyle w:val="null3"/>
              <w:ind w:firstLine="640"/>
              <w:jc w:val="both"/>
            </w:pPr>
            <w:r>
              <w:rPr>
                <w:rFonts w:ascii="仿宋_GB2312" w:hAnsi="仿宋_GB2312" w:cs="仿宋_GB2312" w:eastAsia="仿宋_GB2312"/>
                <w:sz w:val="32"/>
              </w:rPr>
              <w:t>理赔条件和方式：养殖类圈养牲畜在遭受保险责任范围内的野生动物侵害致死后，理赔查勘时现场必须有可辨认的痕迹、受损动物尸体或可鉴别的残损物；受损致死的圈养牲畜，如尸体基本完好则理赔时需扣除</w:t>
            </w:r>
            <w:r>
              <w:rPr>
                <w:rFonts w:ascii="仿宋_GB2312" w:hAnsi="仿宋_GB2312" w:cs="仿宋_GB2312" w:eastAsia="仿宋_GB2312"/>
                <w:sz w:val="32"/>
              </w:rPr>
              <w:t>20%的残值，若被啃食后残余在60%及以上者扣除残值10%，低于60%则可不扣除残值。</w:t>
            </w:r>
          </w:p>
          <w:p>
            <w:pPr>
              <w:pStyle w:val="null3"/>
              <w:ind w:firstLine="640"/>
              <w:jc w:val="both"/>
            </w:pPr>
            <w:r>
              <w:rPr>
                <w:rFonts w:ascii="仿宋_GB2312" w:hAnsi="仿宋_GB2312" w:cs="仿宋_GB2312" w:eastAsia="仿宋_GB2312"/>
                <w:sz w:val="32"/>
              </w:rPr>
              <w:t>2.6中蜂：保险赔偿标准400元/箱</w:t>
            </w:r>
          </w:p>
          <w:p>
            <w:pPr>
              <w:pStyle w:val="null3"/>
              <w:ind w:firstLine="640"/>
              <w:jc w:val="both"/>
            </w:pPr>
            <w:r>
              <w:rPr>
                <w:rFonts w:ascii="仿宋_GB2312" w:hAnsi="仿宋_GB2312" w:cs="仿宋_GB2312" w:eastAsia="仿宋_GB2312"/>
                <w:sz w:val="32"/>
              </w:rPr>
              <w:t>保险赔款</w:t>
            </w:r>
            <w:r>
              <w:rPr>
                <w:rFonts w:ascii="仿宋_GB2312" w:hAnsi="仿宋_GB2312" w:cs="仿宋_GB2312" w:eastAsia="仿宋_GB2312"/>
                <w:sz w:val="32"/>
              </w:rPr>
              <w:t>=损失数量*损失程度*每箱保额400元；每户</w:t>
            </w:r>
            <w:r>
              <w:rPr>
                <w:rFonts w:ascii="仿宋_GB2312" w:hAnsi="仿宋_GB2312" w:cs="仿宋_GB2312" w:eastAsia="仿宋_GB2312"/>
                <w:sz w:val="32"/>
                <w:color w:val="000000"/>
              </w:rPr>
              <w:t>财产损失限额内，累计赔偿限额</w:t>
            </w:r>
            <w:r>
              <w:rPr>
                <w:rFonts w:ascii="仿宋_GB2312" w:hAnsi="仿宋_GB2312" w:cs="仿宋_GB2312" w:eastAsia="仿宋_GB2312"/>
                <w:sz w:val="32"/>
                <w:color w:val="000000"/>
              </w:rPr>
              <w:t>4000元/户·年。</w:t>
            </w:r>
          </w:p>
          <w:p>
            <w:pPr>
              <w:pStyle w:val="null3"/>
              <w:ind w:firstLine="640"/>
              <w:jc w:val="both"/>
            </w:pPr>
            <w:r>
              <w:rPr>
                <w:rFonts w:ascii="仿宋_GB2312" w:hAnsi="仿宋_GB2312" w:cs="仿宋_GB2312" w:eastAsia="仿宋_GB2312"/>
                <w:sz w:val="32"/>
                <w:color w:val="000000"/>
              </w:rPr>
              <w:t>2.7理赔区域负责承保横现河街道办、白水江镇、徐家坪镇、马蹄湾镇、乐素河镇、白雀寺镇、金家河镇、郭镇、西淮坝镇9个镇（办）。</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略阳县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略阳县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质量达到国家行业合格标准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进度款，项目进度达到50，达到付款条件起30个工作日内，支付合同总金额的40.0%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进度款，验收合格后，达到付款条件起30个工作日内，支付合同总金额的30.0%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合同中约定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1、特别注意:为顺利推进政府采购电子化交易平台应用工作，投标人需要在线提交所有通过电子化交易平台实施的政府采购项目的投标文件。 2、中标人在采购结果发布后 3 个工作日内向代理机构提交纸质版投标文件以便于存档，投标文件正本 1 份，副本 2 份，电子版文件 2 份（以 U 盘为载体，电子版内容包括 Word 版本、签字盖章扫描后的 PDF 版本响应文件）。纸质投标文件均须 A4 纸打印，分别各自装订成册并编制目录和页码。线下递交投标文件地点：汉中市汉台区竹园天玺办公楼 11 楼。 3、如竞争性磋商文件中融资相关内容与新政策要求有出入，按照最新要求执行。 4、采用转账支票或银行电汇形式提交的投标保证金必须从其基本账户转出。采用保函形式提交投标保证金的，应在换取保函收据时，将保函加盖单位公章递交给代理公司。注:1.投标供应商在缴纳保证金时应注明项目名称 2.须携带转账凭证或携带保函原件于投标截止时间前换取保证金或保函收据。为避免因保证金未到账或延迟到账，建议至少投标截止时间前个工作日内交至代理机构财务处换取保证金收据。3.保证金收据换取地址为:汉中市汉台区竹园天玺办公楼 11 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具有中国银行保险监督管理委员会颁发的经营保险业务许可证</w:t>
            </w:r>
          </w:p>
        </w:tc>
        <w:tc>
          <w:tcPr>
            <w:tcW w:type="dxa" w:w="3322"/>
          </w:tcPr>
          <w:p>
            <w:pPr>
              <w:pStyle w:val="null3"/>
            </w:pPr>
            <w:r>
              <w:rPr>
                <w:rFonts w:ascii="仿宋_GB2312" w:hAnsi="仿宋_GB2312" w:cs="仿宋_GB2312" w:eastAsia="仿宋_GB2312"/>
              </w:rPr>
              <w:t>具有中国银行保险监督管理委员会颁发的经营保险业务许可证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具有中国银行保险监督管理委员会颁发的经营保险业务许可证</w:t>
            </w:r>
          </w:p>
        </w:tc>
        <w:tc>
          <w:tcPr>
            <w:tcW w:type="dxa" w:w="3322"/>
          </w:tcPr>
          <w:p>
            <w:pPr>
              <w:pStyle w:val="null3"/>
            </w:pPr>
            <w:r>
              <w:rPr>
                <w:rFonts w:ascii="仿宋_GB2312" w:hAnsi="仿宋_GB2312" w:cs="仿宋_GB2312" w:eastAsia="仿宋_GB2312"/>
              </w:rPr>
              <w:t>具有中国银行保险监督管理委员会颁发的经营保险业务许可证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商务应答表 服务内容及服务要求应答表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商务应答表 服务内容及服务要求应答表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供应商应提交的相关资格证明材料.docx 残疾人福利性单位声明函 中小企业声明函 商务应答表 服务内容及服务要求应答表 报价表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评审内容：针对本项目提供总体服务方案，包括但不限于：①相关政 策和规划背景的解读；②服务理念及特色；③重难点分析及解决措施； ④服务目标；⑤服务方案。 评审标准：1.每项评审内容全面详细、阐述条理清晰详尽、符合本项 目采购需求，能保障本项目实施得计 4 分；2.每项评审内容简单计 2 分；3.每项评审内容有瑕疵计 1 分；4.评审内容每缺一项扣 4 分，5 项共计 20 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专业设备配置</w:t>
            </w:r>
          </w:p>
        </w:tc>
        <w:tc>
          <w:tcPr>
            <w:tcW w:type="dxa" w:w="2492"/>
          </w:tcPr>
          <w:p>
            <w:pPr>
              <w:pStyle w:val="null3"/>
            </w:pPr>
            <w:r>
              <w:rPr>
                <w:rFonts w:ascii="仿宋_GB2312" w:hAnsi="仿宋_GB2312" w:cs="仿宋_GB2312" w:eastAsia="仿宋_GB2312"/>
              </w:rPr>
              <w:t>评审内容：需提供设备清单、实物照片，承诺全程投入本项目。 1.红外监测设备（6分） ≥15台：6分，10-14台：4分，5-9台：2分，&lt;5台：0分 2.巡查无人机设备（4分） 3台及以上高清巡航无人机：4分，2台：3分，1台：1分，无：0分 3.安全作业防护装备（5分） 配齐防护服、防刺装备、头盔、对讲机、急救包、警示标牌、隔离围挡、急救包、防火设备、夜间警示设备等： 全员配齐：5分，基本配齐：3分，缺失主要装备：0分 4.无害化处置设备（5分） 具备密闭运输、尸体暂存、无害化处置配套设备: 设备齐全、闭环处置：5分，基本具备：3分，无处置设备：0分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专业设备配置.docx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评审内容：针对本项目提供狩猎队人员配置方案：① 项目组织构架（4分）②人员配置及岗位职责（12人及以上得6分；6-11人得4分；1-5人得2分）。 评审标准 1.项目组织构架内容全面详细、阐述条理清晰详尽、符合本项目 采购需求，能保障本项目实施得计 4 分，评审内容瑕疵扣 2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培训考核方案</w:t>
            </w:r>
          </w:p>
        </w:tc>
        <w:tc>
          <w:tcPr>
            <w:tcW w:type="dxa" w:w="2492"/>
          </w:tcPr>
          <w:p>
            <w:pPr>
              <w:pStyle w:val="null3"/>
            </w:pPr>
            <w:r>
              <w:rPr>
                <w:rFonts w:ascii="仿宋_GB2312" w:hAnsi="仿宋_GB2312" w:cs="仿宋_GB2312" w:eastAsia="仿宋_GB2312"/>
              </w:rPr>
              <w:t>评审内容:针对本项目提供狩猎队人员培训考核方案，包括但不限于:①制定培训方案:②针对不同的岗位、制度及工作程序制定考核方案。评审标准1.每项评审内容全面详细、阐述条理清晰详尽、符合本项目采购需求，能保障本项目实施得计3分:2.每项评审内容简单计2分3.评审内容每缺一项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培训考核方案.docx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针对本项目提供档案管理方案，包括但不限于:①狩猎申请与任务派遣档案、狩猎实施与猎获物档案②针对各岗位职责范围内产生的资料具有合理的规划、保管和移交措施③日常管理工作资料人员档案资料。 评审标准 1.每项评审内容全面详细、阐述条理清晰详尽、符合本项目采购需求，能保障本项目实施得计3分:2.每项评审内容简单计2分3.每项评审内容有瑕疵计1分;4.评审内容每缺一项扣3分,3 项共计9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档案管理方案.docx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评审内容:针对本项目提供服务承诺： ①承诺给狩猎队人员购买意外伤害险②承诺禁用电击、毒饵、陷阱等违禁工具等 评审标准1.每项评审内容计2分，共计4分4.评审内容每缺一项扣2分，扣完为止。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①人员受伤急救预案②野猪逃逸二次防控预案③闯入居民区应急围堵方案④极端天气（暴雨、山体滑坡）野外作业中止机制⑤人畜冲突、农户阻工处置流程。评审标准:1.每项评审内容全面详细、阐述条理清晰详尽、符合本项目采购需求，能保障本项目实施得计1分:2.每项评审内容简单计0.5分:3.评审内容每缺一项得0分，5项共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 2023年 05 月 01日至今(以合同签订日期为准)类似项目业绩。响应文件中附加盖公章的完整的合同或中标通知书，否则不作为评审依据)，每提供一份有效业绩得3分，最多得6分。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2、有效供应商最低投标价格为评标基准价。其他投标供应商的价格分统一按照下列公式计算：投标报价得分=(评标基准价／投标报价)×价格权值（20%）×100（四舍五入后保留小数点后两位）。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根据供应商偿付能力的高低情况进行评分： （1）最近连续五年或以上偿付能力充足率≥100%，得6分； （2）最近连续四年偿付能力充足率≥100%,得5分； （3）最近连续三年偿付能力充足率≥100%,得4分； （4）最近连续一年偿付能力充足率≥100%,得3分； （5）最近一年偿付能力充足率大≥100%, 得1分； （6）其他不得分。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偿付能力.docx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 05 月 01日至今年以来类似项目的业绩，每提供一个得3分，最高得6分，未提供不得分。（应提供中标通知书、保险单或保险合同关键页扫描件）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人员、设备配置</w:t>
            </w:r>
          </w:p>
        </w:tc>
        <w:tc>
          <w:tcPr>
            <w:tcW w:type="dxa" w:w="2492"/>
          </w:tcPr>
          <w:p>
            <w:pPr>
              <w:pStyle w:val="null3"/>
            </w:pPr>
            <w:r>
              <w:rPr>
                <w:rFonts w:ascii="仿宋_GB2312" w:hAnsi="仿宋_GB2312" w:cs="仿宋_GB2312" w:eastAsia="仿宋_GB2312"/>
              </w:rPr>
              <w:t>1、供应商拟投入本项目的专职理赔服务人员在2人的基础上，每增加一人的加3分，最高得6分。 注：专职人员必须是供应商在册人员并提供相关证明文件扫描件,包含但不限于社保缴纳凭证、人员合同、人员简介等。 2、供应商拟投入本项目的自有车辆，每一辆得2分，最高得4分。 注：须提供车辆行驶证或购车发票扫描件。（车辆行驶证或购车发票须与供应商一致，否则不得分）。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人员、设备配置.docx</w:t>
            </w:r>
          </w:p>
        </w:tc>
      </w:tr>
      <w:tr>
        <w:tc>
          <w:tcPr>
            <w:tcW w:type="dxa" w:w="831"/>
            <w:vMerge/>
          </w:tcPr>
          <w:p/>
        </w:tc>
        <w:tc>
          <w:tcPr>
            <w:tcW w:type="dxa" w:w="1661"/>
          </w:tcPr>
          <w:p>
            <w:pPr>
              <w:pStyle w:val="null3"/>
            </w:pPr>
            <w:r>
              <w:rPr>
                <w:rFonts w:ascii="仿宋_GB2312" w:hAnsi="仿宋_GB2312" w:cs="仿宋_GB2312" w:eastAsia="仿宋_GB2312"/>
              </w:rPr>
              <w:t>优惠条件</w:t>
            </w:r>
          </w:p>
        </w:tc>
        <w:tc>
          <w:tcPr>
            <w:tcW w:type="dxa" w:w="2492"/>
          </w:tcPr>
          <w:p>
            <w:pPr>
              <w:pStyle w:val="null3"/>
            </w:pPr>
            <w:r>
              <w:rPr>
                <w:rFonts w:ascii="仿宋_GB2312" w:hAnsi="仿宋_GB2312" w:cs="仿宋_GB2312" w:eastAsia="仿宋_GB2312"/>
              </w:rPr>
              <w:t>根据供应商提供更有利于本项目投保、理赔等条款，特色服务及增值服务等优惠条件的数量及实现程度进行评分： 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优惠条件.docx</w:t>
            </w:r>
          </w:p>
        </w:tc>
      </w:tr>
      <w:tr>
        <w:tc>
          <w:tcPr>
            <w:tcW w:type="dxa" w:w="831"/>
            <w:vMerge/>
          </w:tcPr>
          <w:p/>
        </w:tc>
        <w:tc>
          <w:tcPr>
            <w:tcW w:type="dxa" w:w="1661"/>
          </w:tcPr>
          <w:p>
            <w:pPr>
              <w:pStyle w:val="null3"/>
            </w:pPr>
            <w:r>
              <w:rPr>
                <w:rFonts w:ascii="仿宋_GB2312" w:hAnsi="仿宋_GB2312" w:cs="仿宋_GB2312" w:eastAsia="仿宋_GB2312"/>
              </w:rPr>
              <w:t>响应及时效承诺</w:t>
            </w:r>
          </w:p>
        </w:tc>
        <w:tc>
          <w:tcPr>
            <w:tcW w:type="dxa" w:w="2492"/>
          </w:tcPr>
          <w:p>
            <w:pPr>
              <w:pStyle w:val="null3"/>
            </w:pPr>
            <w:r>
              <w:rPr>
                <w:rFonts w:ascii="仿宋_GB2312" w:hAnsi="仿宋_GB2312" w:cs="仿宋_GB2312" w:eastAsia="仿宋_GB2312"/>
              </w:rPr>
              <w:t>1、供应商在服务方案中承诺接到报案电话后，在60分钟(不含)以内查勘人员赶赴现场查勘调解的，得5分。（未提供相关承诺不得分） 2、根据供应商在服务方案中承诺的赔付义务履行时效进行打分： （1）承诺3个工作日内赔付的，得5分； （2）承诺5个工作日内赔付的，得4分； （3）承诺7个工作日或以上赔付的，得3分。 （4）未提供相关承诺不得分。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响应及时效承诺.docx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根据供应商制定的针对采购人、投保人(被保险人）关于保险内容及理赔流程的培训计划（包括：培训次数、培训人数、培训时间、培训内容等）进行评分： （1）计划详细具体、覆盖面较广、针对性强，得3-5分； （2）计划较详细具体，覆盖面较广、针对性较强，得2-3分； （3）计划不详细具体，覆盖面不广、针对性不强，得1-2分； （4）未提供培训计划不得分。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培训服务.docx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根据供应商制定的针对本项目保险特点的整体服务方案进行评分，方案应包括：①服务宗旨定位；②服务目标计划；③服务理念及特色；④服务保障措施；⑤服务管理模式及重难点分析。 （1）服务方案详细具体、实施思路清晰、内容全面响应采购项目需求，得8-11分； （2）有服务方案,内容较好响应采购项目需求，得4-8分； （3）服务方案有缺项漏项,内容不完整或不能全部响应采购项目需求，得1-4分； （4）未提供服务方案不得分。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承保服务方案</w:t>
            </w:r>
          </w:p>
        </w:tc>
        <w:tc>
          <w:tcPr>
            <w:tcW w:type="dxa" w:w="2492"/>
          </w:tcPr>
          <w:p>
            <w:pPr>
              <w:pStyle w:val="null3"/>
            </w:pPr>
            <w:r>
              <w:rPr>
                <w:rFonts w:ascii="仿宋_GB2312" w:hAnsi="仿宋_GB2312" w:cs="仿宋_GB2312" w:eastAsia="仿宋_GB2312"/>
              </w:rPr>
              <w:t>根据供应商制定的承保服务方案进行评分，方案应包括：①救助责任及范围；②保险限额标准；③投保时效。 （1）承保方案详细具体、保费标准清晰合理、投保时效符合实际，内容全面响应采购项目需求，得8-12分； （2）有承保方案，保费标准清晰合理、内容较好响应采购项目需求，得4-8分； （3）承保方案有缺项漏项,内容不完整或不能全部响应采购项目需求，得1-4分； （4）未提供承保方案不得分。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承保服务方案.docx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根据供应商制定的理赔方案进行评分，方案应包括：①理赔流程；②理赔质量标准；③理赔响应时效；④现场勘查时效；⑤档案及跟踪管理等保障措施。 （1）理赔方案详细具体、理赔程序清晰简便、理赔响应时效短、内容全面响应采购项目需求，得8-12分； （2）有理赔方案，理赔程序不够清晰简便、理赔响应时效短、内容较好响应采购项目需求，得4-8分； （3）理赔方案有缺项漏项,内容不完整或不能全部响应采购项目需求，得1-4分； （4）未提供不得分。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理赔服务方案.docx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2、有效供应商最低投标价格为评标基准价。其他投标供应商的价格分统一按照下列公式计算：投标报价得分=(评标基准价／投标报价)×价格权值（20%）×100（四舍五入后保留小数点后两位）。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偿付能力</w:t>
            </w:r>
          </w:p>
        </w:tc>
        <w:tc>
          <w:tcPr>
            <w:tcW w:type="dxa" w:w="2492"/>
          </w:tcPr>
          <w:p>
            <w:pPr>
              <w:pStyle w:val="null3"/>
            </w:pPr>
            <w:r>
              <w:rPr>
                <w:rFonts w:ascii="仿宋_GB2312" w:hAnsi="仿宋_GB2312" w:cs="仿宋_GB2312" w:eastAsia="仿宋_GB2312"/>
              </w:rPr>
              <w:t>根据供应商偿付能力的高低情况进行评分： （1）最近连续五年或以上偿付能力充足率≥100%，得6分； （2）最近连续四年偿付能力充足率≥100%,得5分； （3）最近连续三年偿付能力充足率≥100%,得4分； （4）最近连续一年偿付能力充足率≥100%,得3分； （5）最近一年偿付能力充足率大≥100%, 得1分； （6）其他不得分。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偿付能力.docx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 05 月 01日至今以来类似项目的业绩，每提供一个得3分，最高得6分，未提供不得分。（应提供中标通知书、保险单或保险合同关键页扫描件）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人员、设备配置</w:t>
            </w:r>
          </w:p>
        </w:tc>
        <w:tc>
          <w:tcPr>
            <w:tcW w:type="dxa" w:w="2492"/>
          </w:tcPr>
          <w:p>
            <w:pPr>
              <w:pStyle w:val="null3"/>
            </w:pPr>
            <w:r>
              <w:rPr>
                <w:rFonts w:ascii="仿宋_GB2312" w:hAnsi="仿宋_GB2312" w:cs="仿宋_GB2312" w:eastAsia="仿宋_GB2312"/>
              </w:rPr>
              <w:t>1、供应商拟投入本项目的专职理赔服务人员在2人的基础上，每增加一人的加3分，最高得6分。 注：专职人员必须是供应商在册人员并提供相关证明文件扫描件,包含但不限于社保缴纳凭证、人员合同、人员简介等。 2、供应商拟投入本项目的自有车辆，每一辆得2分，最高得4分。 注：须提供车辆行驶证或购车发票扫描件。（车辆行驶证或购车发票须与供应商一致，否则不得分）。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人员、设备配置.docx</w:t>
            </w:r>
          </w:p>
        </w:tc>
      </w:tr>
      <w:tr>
        <w:tc>
          <w:tcPr>
            <w:tcW w:type="dxa" w:w="831"/>
            <w:vMerge/>
          </w:tcPr>
          <w:p/>
        </w:tc>
        <w:tc>
          <w:tcPr>
            <w:tcW w:type="dxa" w:w="1661"/>
          </w:tcPr>
          <w:p>
            <w:pPr>
              <w:pStyle w:val="null3"/>
            </w:pPr>
            <w:r>
              <w:rPr>
                <w:rFonts w:ascii="仿宋_GB2312" w:hAnsi="仿宋_GB2312" w:cs="仿宋_GB2312" w:eastAsia="仿宋_GB2312"/>
              </w:rPr>
              <w:t>优惠条件</w:t>
            </w:r>
          </w:p>
        </w:tc>
        <w:tc>
          <w:tcPr>
            <w:tcW w:type="dxa" w:w="2492"/>
          </w:tcPr>
          <w:p>
            <w:pPr>
              <w:pStyle w:val="null3"/>
            </w:pPr>
            <w:r>
              <w:rPr>
                <w:rFonts w:ascii="仿宋_GB2312" w:hAnsi="仿宋_GB2312" w:cs="仿宋_GB2312" w:eastAsia="仿宋_GB2312"/>
              </w:rPr>
              <w:t>根据供应商提供更有利于本项目投保、理赔等条款，特色服务及增值服务等优惠条件的数量及实现程度进行评分： 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优惠条件.docx</w:t>
            </w:r>
          </w:p>
        </w:tc>
      </w:tr>
      <w:tr>
        <w:tc>
          <w:tcPr>
            <w:tcW w:type="dxa" w:w="831"/>
            <w:vMerge/>
          </w:tcPr>
          <w:p/>
        </w:tc>
        <w:tc>
          <w:tcPr>
            <w:tcW w:type="dxa" w:w="1661"/>
          </w:tcPr>
          <w:p>
            <w:pPr>
              <w:pStyle w:val="null3"/>
            </w:pPr>
            <w:r>
              <w:rPr>
                <w:rFonts w:ascii="仿宋_GB2312" w:hAnsi="仿宋_GB2312" w:cs="仿宋_GB2312" w:eastAsia="仿宋_GB2312"/>
              </w:rPr>
              <w:t>响应及时效承诺</w:t>
            </w:r>
          </w:p>
        </w:tc>
        <w:tc>
          <w:tcPr>
            <w:tcW w:type="dxa" w:w="2492"/>
          </w:tcPr>
          <w:p>
            <w:pPr>
              <w:pStyle w:val="null3"/>
            </w:pPr>
            <w:r>
              <w:rPr>
                <w:rFonts w:ascii="仿宋_GB2312" w:hAnsi="仿宋_GB2312" w:cs="仿宋_GB2312" w:eastAsia="仿宋_GB2312"/>
              </w:rPr>
              <w:t>1、供应商在服务方案中承诺接到报案电话后，在60分钟(不含)以内查勘人员赶赴现场查勘调解的，得5分。（未提供相关承诺不得分） 2、根据供应商在服务方案中承诺的赔付义务履行时效进行打分： （1）承诺3个工作日内赔付的，得5分； （2）承诺5个工作日内赔付的，得4分； （3）承诺7个工作日或以上赔付的，得3分。 （4）未提供相关承诺不得分。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响应及时效承诺.docx</w:t>
            </w:r>
          </w:p>
        </w:tc>
      </w:tr>
      <w:tr>
        <w:tc>
          <w:tcPr>
            <w:tcW w:type="dxa" w:w="831"/>
            <w:vMerge/>
          </w:tcPr>
          <w:p/>
        </w:tc>
        <w:tc>
          <w:tcPr>
            <w:tcW w:type="dxa" w:w="1661"/>
          </w:tcPr>
          <w:p>
            <w:pPr>
              <w:pStyle w:val="null3"/>
            </w:pPr>
            <w:r>
              <w:rPr>
                <w:rFonts w:ascii="仿宋_GB2312" w:hAnsi="仿宋_GB2312" w:cs="仿宋_GB2312" w:eastAsia="仿宋_GB2312"/>
              </w:rPr>
              <w:t>培训服务</w:t>
            </w:r>
          </w:p>
        </w:tc>
        <w:tc>
          <w:tcPr>
            <w:tcW w:type="dxa" w:w="2492"/>
          </w:tcPr>
          <w:p>
            <w:pPr>
              <w:pStyle w:val="null3"/>
            </w:pPr>
            <w:r>
              <w:rPr>
                <w:rFonts w:ascii="仿宋_GB2312" w:hAnsi="仿宋_GB2312" w:cs="仿宋_GB2312" w:eastAsia="仿宋_GB2312"/>
              </w:rPr>
              <w:t>根据供应商制定的针对采购人、投保人(被保险人）关于保险内容及理赔流程的培训计划（包括：培训次数、培训人数、培训时间、培训内容等）进行评分： （1）计划详细具体、覆盖面较广、针对性强，得3-5分； （2）计划较详细具体，覆盖面较广、针对性较强，得2-3分； （3）计划不详细具体，覆盖面不广、针对性不强，得1-2分； （4）未提供培训计划不得分。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培训服务.docx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根据供应商制定的针对本项目保险特点的整体服务方案进行评分，方案应包括：①服务宗旨定位；②服务目标计划；③服务理念及特色；④服务保障措施；⑤服务管理模式及重难点分析。 （1）服务方案详细具体、实施思路清晰、内容全面响应采购项目需求，得8-11分； （2）有服务方案,内容较好响应采购项目需求，得4-8分； （3）服务方案有缺项漏项,内容不完整或不能全部响应采购项目需求，得1-4分； （4）未提供服务方案不得分。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承保服务方案</w:t>
            </w:r>
          </w:p>
        </w:tc>
        <w:tc>
          <w:tcPr>
            <w:tcW w:type="dxa" w:w="2492"/>
          </w:tcPr>
          <w:p>
            <w:pPr>
              <w:pStyle w:val="null3"/>
            </w:pPr>
            <w:r>
              <w:rPr>
                <w:rFonts w:ascii="仿宋_GB2312" w:hAnsi="仿宋_GB2312" w:cs="仿宋_GB2312" w:eastAsia="仿宋_GB2312"/>
              </w:rPr>
              <w:t>根据供应商制定的承保服务方案进行评分，方案应包括：①救助责任及范围；②保险限额标准；③投保时效。 （1）承保方案详细具体、保费标准清晰合理、投保时效符合实际，内容全面响应采购项目需求，得8-12分； （2）有承保方案，保费标准清晰合理、内容较好响应采购项目需求，得4-8分； （3）承保方案有缺项漏项,内容不完整或不能全部响应采购项目需求，得1-4分； （4）未提供承保方案不得分。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承保服务方案.docx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理赔服务方案</w:t>
            </w:r>
          </w:p>
        </w:tc>
        <w:tc>
          <w:tcPr>
            <w:tcW w:type="dxa" w:w="2492"/>
          </w:tcPr>
          <w:p>
            <w:pPr>
              <w:pStyle w:val="null3"/>
            </w:pPr>
            <w:r>
              <w:rPr>
                <w:rFonts w:ascii="仿宋_GB2312" w:hAnsi="仿宋_GB2312" w:cs="仿宋_GB2312" w:eastAsia="仿宋_GB2312"/>
              </w:rPr>
              <w:t>根据供应商制定的理赔方案进行评分，方案应包括：①理赔流程；②理赔质量标准；③理赔响应时效；④现场勘查时效；⑤档案及跟踪管理等保障措施。 （1）理赔方案详细具体、理赔程序清晰简便、理赔响应时效短、内容全面响应采购项目需求，得8-12分； （2）有理赔方案，理赔程序不够清晰简便、理赔响应时效短、内容较好响应采购项目需求，得4-8分； （3）理赔方案有缺项漏项,内容不完整或不能全部响应采购项目需求，得1-4分； （4）未提供不得分。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理赔服务方案.docx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2、有效供应商最低投标价格为评标基准价。其他投标供应商的价格分统一按照下列公式计算：投标报价得分=(评标基准价／投标报价)×价格权值（20%）×100（四舍五入后保留小数点后两位）。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详见附件：档案管理方案.docx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详见附件：培训考核方案.docx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详见附件：专业设备配置.docx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详见附件：偿付能力.docx</w:t>
      </w:r>
    </w:p>
    <w:p>
      <w:pPr>
        <w:pStyle w:val="null3"/>
        <w:ind w:firstLine="960"/>
      </w:pPr>
      <w:r>
        <w:rPr>
          <w:rFonts w:ascii="仿宋_GB2312" w:hAnsi="仿宋_GB2312" w:cs="仿宋_GB2312" w:eastAsia="仿宋_GB2312"/>
        </w:rPr>
        <w:t>详见附件：承保服务方案.docx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详见附件：理赔服务方案.docx</w:t>
      </w:r>
    </w:p>
    <w:p>
      <w:pPr>
        <w:pStyle w:val="null3"/>
        <w:ind w:firstLine="960"/>
      </w:pPr>
      <w:r>
        <w:rPr>
          <w:rFonts w:ascii="仿宋_GB2312" w:hAnsi="仿宋_GB2312" w:cs="仿宋_GB2312" w:eastAsia="仿宋_GB2312"/>
        </w:rPr>
        <w:t>详见附件：培训服务.docx</w:t>
      </w:r>
    </w:p>
    <w:p>
      <w:pPr>
        <w:pStyle w:val="null3"/>
        <w:ind w:firstLine="960"/>
      </w:pPr>
      <w:r>
        <w:rPr>
          <w:rFonts w:ascii="仿宋_GB2312" w:hAnsi="仿宋_GB2312" w:cs="仿宋_GB2312" w:eastAsia="仿宋_GB2312"/>
        </w:rPr>
        <w:t>详见附件：人员、设备配置.docx</w:t>
      </w:r>
    </w:p>
    <w:p>
      <w:pPr>
        <w:pStyle w:val="null3"/>
        <w:ind w:firstLine="960"/>
      </w:pPr>
      <w:r>
        <w:rPr>
          <w:rFonts w:ascii="仿宋_GB2312" w:hAnsi="仿宋_GB2312" w:cs="仿宋_GB2312" w:eastAsia="仿宋_GB2312"/>
        </w:rPr>
        <w:t>详见附件：响应及时效承诺.docx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详见附件：优惠条件.docx</w:t>
      </w:r>
    </w:p>
    <w:p>
      <w:pPr>
        <w:pStyle w:val="null3"/>
        <w:ind w:firstLine="960"/>
      </w:pPr>
      <w:r>
        <w:rPr>
          <w:rFonts w:ascii="仿宋_GB2312" w:hAnsi="仿宋_GB2312" w:cs="仿宋_GB2312" w:eastAsia="仿宋_GB2312"/>
        </w:rPr>
        <w:t>详见附件：整体服务方案.docx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详见附件：偿付能力.docx</w:t>
      </w:r>
    </w:p>
    <w:p>
      <w:pPr>
        <w:pStyle w:val="null3"/>
        <w:ind w:firstLine="960"/>
      </w:pPr>
      <w:r>
        <w:rPr>
          <w:rFonts w:ascii="仿宋_GB2312" w:hAnsi="仿宋_GB2312" w:cs="仿宋_GB2312" w:eastAsia="仿宋_GB2312"/>
        </w:rPr>
        <w:t>详见附件：承保服务方案.docx</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详见附件：理赔服务方案.docx</w:t>
      </w:r>
    </w:p>
    <w:p>
      <w:pPr>
        <w:pStyle w:val="null3"/>
        <w:ind w:firstLine="960"/>
      </w:pPr>
      <w:r>
        <w:rPr>
          <w:rFonts w:ascii="仿宋_GB2312" w:hAnsi="仿宋_GB2312" w:cs="仿宋_GB2312" w:eastAsia="仿宋_GB2312"/>
        </w:rPr>
        <w:t>详见附件：人员、设备配置.docx</w:t>
      </w:r>
    </w:p>
    <w:p>
      <w:pPr>
        <w:pStyle w:val="null3"/>
        <w:ind w:firstLine="960"/>
      </w:pPr>
      <w:r>
        <w:rPr>
          <w:rFonts w:ascii="仿宋_GB2312" w:hAnsi="仿宋_GB2312" w:cs="仿宋_GB2312" w:eastAsia="仿宋_GB2312"/>
        </w:rPr>
        <w:t>详见附件：响应及时效承诺.docx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详见附件：优惠条件.docx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详见附件：培训服务.docx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