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版本号：2026-ZWJSXXA-F2003-代理.2B120260624001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2026年食品安全检验检测项目(二次)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2026-ZWJSXXA-F2003-代理.2B1</w:t>
      </w:r>
      <w:r>
        <w:br/>
      </w:r>
      <w:r>
        <w:br/>
      </w:r>
      <w:r>
        <w:br/>
      </w:r>
    </w:p>
    <w:p>
      <w:pPr>
        <w:pStyle w:val="null3"/>
        <w:jc w:val="center"/>
        <w:outlineLvl w:val="2"/>
      </w:pPr>
      <w:r>
        <w:rPr>
          <w:rFonts w:ascii="仿宋_GB2312" w:hAnsi="仿宋_GB2312" w:cs="仿宋_GB2312" w:eastAsia="仿宋_GB2312"/>
          <w:sz w:val="28"/>
          <w:b/>
        </w:rPr>
        <w:t>大荔县市场监督管理局</w:t>
      </w:r>
    </w:p>
    <w:p>
      <w:pPr>
        <w:pStyle w:val="null3"/>
        <w:jc w:val="center"/>
        <w:outlineLvl w:val="2"/>
      </w:pPr>
      <w:r>
        <w:rPr>
          <w:rFonts w:ascii="仿宋_GB2312" w:hAnsi="仿宋_GB2312" w:cs="仿宋_GB2312" w:eastAsia="仿宋_GB2312"/>
          <w:sz w:val="28"/>
          <w:b/>
        </w:rPr>
        <w:t>陕西中外建工程管理有限公司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陕西中外建工程管理有限公司</w:t>
      </w:r>
      <w:r>
        <w:rPr>
          <w:rFonts w:ascii="仿宋_GB2312" w:hAnsi="仿宋_GB2312" w:cs="仿宋_GB2312" w:eastAsia="仿宋_GB2312"/>
        </w:rPr>
        <w:t>（以下简称“代理机构”）受</w:t>
      </w:r>
      <w:r>
        <w:rPr>
          <w:rFonts w:ascii="仿宋_GB2312" w:hAnsi="仿宋_GB2312" w:cs="仿宋_GB2312" w:eastAsia="仿宋_GB2312"/>
        </w:rPr>
        <w:t>大荔县市场监督管理局</w:t>
      </w:r>
      <w:r>
        <w:rPr>
          <w:rFonts w:ascii="仿宋_GB2312" w:hAnsi="仿宋_GB2312" w:cs="仿宋_GB2312" w:eastAsia="仿宋_GB2312"/>
        </w:rPr>
        <w:t>委托，拟对</w:t>
      </w:r>
      <w:r>
        <w:rPr>
          <w:rFonts w:ascii="仿宋_GB2312" w:hAnsi="仿宋_GB2312" w:cs="仿宋_GB2312" w:eastAsia="仿宋_GB2312"/>
        </w:rPr>
        <w:t>2026年食品安全检验检测项目(二次)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2026-ZWJSXXA-F2003-代理.2B1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2026年食品安全检验检测项目(二次)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2026年食品安全检验检测项目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采购包1（你点我检食用农产品、小作坊食品及你点我检食品）：属于专门面向中小企业采购。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2、财务状况报告：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4、社会保障资金缴纳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法定代表人授权委托书：5、法定代表人授权委托书：法定代表人授权书（附法定代表人、被授权人身份证复印件）及被授权人身份证（法定代表人直接参加磋商，须提供法定代表人身份证明及身份证原件），非法人单位参照执行。</w:t>
      </w:r>
    </w:p>
    <w:p>
      <w:pPr>
        <w:pStyle w:val="null3"/>
      </w:pPr>
      <w:r>
        <w:rPr>
          <w:rFonts w:ascii="仿宋_GB2312" w:hAnsi="仿宋_GB2312" w:cs="仿宋_GB2312" w:eastAsia="仿宋_GB2312"/>
        </w:rPr>
        <w:t>6、信用记录：6、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7、资质证书：7、资质证书：供应商须提供检验检测机构资质认定证书CMA（包含证书完整附表)。</w:t>
      </w:r>
    </w:p>
    <w:p>
      <w:pPr>
        <w:pStyle w:val="null3"/>
      </w:pPr>
      <w:r>
        <w:rPr>
          <w:rFonts w:ascii="仿宋_GB2312" w:hAnsi="仿宋_GB2312" w:cs="仿宋_GB2312" w:eastAsia="仿宋_GB2312"/>
        </w:rPr>
        <w:t>8、本项目专门面向中小企业：8、本项目专门面向中小企业：需提供中小企业声明函</w:t>
      </w:r>
    </w:p>
    <w:p>
      <w:pPr>
        <w:pStyle w:val="null3"/>
      </w:pPr>
      <w:r>
        <w:rPr>
          <w:rFonts w:ascii="仿宋_GB2312" w:hAnsi="仿宋_GB2312" w:cs="仿宋_GB2312" w:eastAsia="仿宋_GB2312"/>
        </w:rPr>
        <w:t>9、非联合体声明：9、非联合体声明：本项目不接受联合体磋商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大荔县北新街28号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梁静波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13892375694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陕西中外建工程管理有限公司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陕西省西安市未央区陕西省西安市经济技术开发区风城五路 123号秦创原软科中心A座1703号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董云剑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17766665065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大荔县市场监督管理局</w:t>
      </w:r>
      <w:r>
        <w:rPr>
          <w:rFonts w:ascii="仿宋_GB2312" w:hAnsi="仿宋_GB2312" w:cs="仿宋_GB2312" w:eastAsia="仿宋_GB2312"/>
        </w:rPr>
        <w:t>和</w:t>
      </w:r>
      <w:r>
        <w:rPr>
          <w:rFonts w:ascii="仿宋_GB2312" w:hAnsi="仿宋_GB2312" w:cs="仿宋_GB2312" w:eastAsia="仿宋_GB2312"/>
        </w:rPr>
        <w:t>陕西中外建工程管理有限公司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陕西中外建工程管理有限公司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陕西中外建工程管理有限公司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陕西中外建工程管理有限公司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陕西中外建工程管理有限公司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陕西中外建工程管理有限公司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联系人：董云剑</w:t>
      </w:r>
    </w:p>
    <w:p>
      <w:pPr>
        <w:pStyle w:val="null3"/>
      </w:pPr>
      <w:r>
        <w:rPr>
          <w:rFonts w:ascii="仿宋_GB2312" w:hAnsi="仿宋_GB2312" w:cs="仿宋_GB2312" w:eastAsia="仿宋_GB2312"/>
        </w:rPr>
        <w:t>联系电话：17766665065</w:t>
      </w:r>
    </w:p>
    <w:p>
      <w:pPr>
        <w:pStyle w:val="null3"/>
      </w:pPr>
      <w:r>
        <w:rPr>
          <w:rFonts w:ascii="仿宋_GB2312" w:hAnsi="仿宋_GB2312" w:cs="仿宋_GB2312" w:eastAsia="仿宋_GB2312"/>
        </w:rPr>
        <w:t>地址：陕西省西安市未央区陕西省西安市经济技术开发区风城五路 123号秦创原软科中心A座1703号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2026年食品安全检验检测项目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460,000.00</w:t>
      </w:r>
    </w:p>
    <w:p>
      <w:pPr>
        <w:pStyle w:val="null3"/>
      </w:pPr>
      <w:r>
        <w:rPr>
          <w:rFonts w:ascii="仿宋_GB2312" w:hAnsi="仿宋_GB2312" w:cs="仿宋_GB2312" w:eastAsia="仿宋_GB2312"/>
        </w:rPr>
        <w:t>采购包最高限价（元）: 460,000.00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合同包2（你点我检食用农产品.小作坊食品及你点我检食品）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标的名称：合同包2（你点我检食用农产品.小作坊食品及你点我检食品）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760"/>
              <w:gridCol w:w="760"/>
              <w:gridCol w:w="1031"/>
            </w:tblGrid>
            <w:tr>
              <w:tc>
                <w:tcPr>
                  <w:tcW w:type="dxa" w:w="7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包号</w:t>
                  </w:r>
                </w:p>
              </w:tc>
              <w:tc>
                <w:tcPr>
                  <w:tcW w:type="dxa" w:w="7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分类明细</w:t>
                  </w:r>
                </w:p>
              </w:tc>
              <w:tc>
                <w:tcPr>
                  <w:tcW w:type="dxa" w:w="10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抽检批次数</w:t>
                  </w:r>
                </w:p>
              </w:tc>
            </w:tr>
            <w:tr>
              <w:tc>
                <w:tcPr>
                  <w:tcW w:type="dxa" w:w="76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合同包2</w:t>
                  </w:r>
                </w:p>
              </w:tc>
              <w:tc>
                <w:tcPr>
                  <w:tcW w:type="dxa" w:w="7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你点我检食用农产品</w:t>
                  </w:r>
                </w:p>
              </w:tc>
              <w:tc>
                <w:tcPr>
                  <w:tcW w:type="dxa" w:w="10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r>
            <w:tr>
              <w:tc>
                <w:tcPr>
                  <w:tcW w:type="dxa" w:w="760"/>
                  <w:vMerge/>
                  <w:tcBorders>
                    <w:top w:val="single" w:color="000000" w:sz="4"/>
                    <w:left w:val="single" w:color="000000" w:sz="4"/>
                    <w:bottom w:val="single" w:color="000000" w:sz="4"/>
                    <w:right w:val="single" w:color="000000" w:sz="4"/>
                  </w:tcBorders>
                </w:tcPr>
                <w:p/>
              </w:tc>
              <w:tc>
                <w:tcPr>
                  <w:tcW w:type="dxa" w:w="7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小作坊食品</w:t>
                  </w:r>
                </w:p>
              </w:tc>
              <w:tc>
                <w:tcPr>
                  <w:tcW w:type="dxa" w:w="10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265</w:t>
                  </w:r>
                </w:p>
              </w:tc>
            </w:tr>
            <w:tr>
              <w:tc>
                <w:tcPr>
                  <w:tcW w:type="dxa" w:w="760"/>
                  <w:vMerge/>
                  <w:tcBorders>
                    <w:top w:val="single" w:color="000000" w:sz="4"/>
                    <w:left w:val="single" w:color="000000" w:sz="4"/>
                    <w:bottom w:val="single" w:color="000000" w:sz="4"/>
                    <w:right w:val="single" w:color="000000" w:sz="4"/>
                  </w:tcBorders>
                </w:tcPr>
                <w:p/>
              </w:tc>
              <w:tc>
                <w:tcPr>
                  <w:tcW w:type="dxa" w:w="7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你点我检食品</w:t>
                  </w:r>
                </w:p>
              </w:tc>
              <w:tc>
                <w:tcPr>
                  <w:tcW w:type="dxa" w:w="10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240</w:t>
                  </w:r>
                </w:p>
              </w:tc>
            </w:tr>
          </w:tbl>
          <w:tbl>
            <w:tblPr>
              <w:tblBorders>
                <w:top w:val="single"/>
                <w:left w:val="single"/>
                <w:bottom w:val="single"/>
                <w:right w:val="single"/>
                <w:insideH w:val="single"/>
                <w:insideV w:val="single"/>
              </w:tblBorders>
            </w:tblPr>
            <w:tblGrid>
              <w:gridCol w:w="191"/>
              <w:gridCol w:w="189"/>
              <w:gridCol w:w="189"/>
              <w:gridCol w:w="249"/>
              <w:gridCol w:w="149"/>
              <w:gridCol w:w="769"/>
              <w:gridCol w:w="151"/>
              <w:gridCol w:w="170"/>
              <w:gridCol w:w="157"/>
              <w:gridCol w:w="170"/>
              <w:gridCol w:w="157"/>
            </w:tblGrid>
            <w:tr>
              <w:tc>
                <w:tcPr>
                  <w:tcW w:type="dxa" w:w="191"/>
                  <w:vMerge w:val="restart"/>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食品大类(一级)</w:t>
                  </w:r>
                </w:p>
              </w:tc>
              <w:tc>
                <w:tcPr>
                  <w:tcW w:type="dxa" w:w="189"/>
                  <w:vMerge w:val="restart"/>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食品亚类(二级)</w:t>
                  </w:r>
                </w:p>
              </w:tc>
              <w:tc>
                <w:tcPr>
                  <w:tcW w:type="dxa" w:w="189"/>
                  <w:vMerge w:val="restart"/>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食品品种(三级)</w:t>
                  </w:r>
                </w:p>
              </w:tc>
              <w:tc>
                <w:tcPr>
                  <w:tcW w:type="dxa" w:w="249"/>
                  <w:vMerge w:val="restart"/>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食品细类(四级)</w:t>
                  </w:r>
                </w:p>
              </w:tc>
              <w:tc>
                <w:tcPr>
                  <w:tcW w:type="dxa" w:w="149"/>
                  <w:vMerge w:val="restart"/>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风险等级</w:t>
                  </w:r>
                </w:p>
              </w:tc>
              <w:tc>
                <w:tcPr>
                  <w:tcW w:type="dxa" w:w="769"/>
                  <w:vMerge w:val="restart"/>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抽检项目</w:t>
                  </w:r>
                </w:p>
              </w:tc>
              <w:tc>
                <w:tcPr>
                  <w:tcW w:type="dxa" w:w="478"/>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普通食品</w:t>
                  </w:r>
                </w:p>
              </w:tc>
              <w:tc>
                <w:tcPr>
                  <w:tcW w:type="dxa" w:w="327"/>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农产品</w:t>
                  </w:r>
                </w:p>
              </w:tc>
            </w:tr>
            <w:tr>
              <w:tc>
                <w:tcPr>
                  <w:tcW w:type="dxa" w:w="191"/>
                  <w:vMerge/>
                  <w:tcBorders>
                    <w:top w:val="none" w:color="000000" w:sz="4"/>
                    <w:left w:val="single" w:color="000000" w:sz="4"/>
                    <w:bottom w:val="none" w:color="000000" w:sz="4"/>
                    <w:right w:val="single" w:color="000000" w:sz="4"/>
                  </w:tcBorders>
                </w:tcPr>
                <w:p/>
              </w:tc>
              <w:tc>
                <w:tcPr>
                  <w:tcW w:type="dxa" w:w="189"/>
                  <w:vMerge/>
                  <w:tcBorders>
                    <w:top w:val="none" w:color="000000" w:sz="4"/>
                    <w:left w:val="single" w:color="000000" w:sz="4"/>
                    <w:bottom w:val="none" w:color="000000" w:sz="4"/>
                    <w:right w:val="single" w:color="000000" w:sz="4"/>
                  </w:tcBorders>
                </w:tcPr>
                <w:p/>
              </w:tc>
              <w:tc>
                <w:tcPr>
                  <w:tcW w:type="dxa" w:w="189"/>
                  <w:vMerge/>
                  <w:tcBorders>
                    <w:top w:val="none" w:color="000000" w:sz="4"/>
                    <w:left w:val="single" w:color="000000" w:sz="4"/>
                    <w:bottom w:val="none" w:color="000000" w:sz="4"/>
                    <w:right w:val="single" w:color="000000" w:sz="4"/>
                  </w:tcBorders>
                </w:tcPr>
                <w:p/>
              </w:tc>
              <w:tc>
                <w:tcPr>
                  <w:tcW w:type="dxa" w:w="249"/>
                  <w:vMerge/>
                  <w:tcBorders>
                    <w:top w:val="none" w:color="000000" w:sz="4"/>
                    <w:left w:val="single" w:color="000000" w:sz="4"/>
                    <w:bottom w:val="none" w:color="000000" w:sz="4"/>
                    <w:right w:val="single" w:color="000000" w:sz="4"/>
                  </w:tcBorders>
                </w:tcPr>
                <w:p/>
              </w:tc>
              <w:tc>
                <w:tcPr>
                  <w:tcW w:type="dxa" w:w="149"/>
                  <w:vMerge/>
                  <w:tcBorders>
                    <w:top w:val="none" w:color="000000" w:sz="4"/>
                    <w:left w:val="single" w:color="000000" w:sz="4"/>
                    <w:bottom w:val="none" w:color="000000" w:sz="4"/>
                    <w:right w:val="single" w:color="000000" w:sz="4"/>
                  </w:tcBorders>
                </w:tcPr>
                <w:p/>
              </w:tc>
              <w:tc>
                <w:tcPr>
                  <w:tcW w:type="dxa" w:w="769"/>
                  <w:vMerge/>
                  <w:tcBorders>
                    <w:top w:val="none" w:color="000000" w:sz="4"/>
                    <w:left w:val="single" w:color="000000" w:sz="4"/>
                    <w:bottom w:val="none" w:color="000000" w:sz="4"/>
                    <w:right w:val="single" w:color="000000" w:sz="4"/>
                  </w:tcBorders>
                </w:tcP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小作坊</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你点我检</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你点我检</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粮食加工品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小麦粉</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小麦粉</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小麦粉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镉(以Cd计)、苯并[α]芘、玉米赤霉烯酮、脱氧雪腐镰刀菌烯醇、赭曲霉毒素A、黄曲霉毒素B₁、偶氮甲酰胺、过氧化苯甲酰</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大米</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大米</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大米</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铅(以Pb计)、镉(以Cd计)、无机砷(以As计)、苯并[α]芘、黄曲霉毒素B₁、赭曲霉毒素A</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挂面</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挂面</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挂面</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铅(以Pb计)、黄曲霉毒素B₁、脱氢乙酸及其钠盐(以脱氢乙酸计)、合成着色剂(柠檬黄、日落黄)</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其他粮食加工品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谷物粉类制成品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生湿面制品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苯甲酸及其钠盐(以苯甲酸计)、山梨酸及其钾盐(以山梨酸计)、脱氢乙酸及其钠盐(以脱氢乙酸计)、二氧化硫残留量、合成着色剂(日落黄、柠檬黄)</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发酵面制品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苯甲酸及其钠盐(以苯甲酸计)、山梨酸及其钾盐(以山梨酸计)、脱氢乙酸及其钠盐(以脱氢乙酸计)、糖精钠(以糖精计)、合成着色剂(日落黄、柠檬黄)、菌落总数、大肠菌群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米粉制品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苯甲酸及其钠盐(以苯甲酸计)、山梨酸及其钾盐(以山梨酸计)、脱氢乙酸及其钠盐(以脱氢乙酸计)、二氧化硫残留量、合成着色剂(柠檬黄、日落黄)、菌落总数、大肠菌群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食用油、油脂及其制品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食用植物油</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食用植物油</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花生油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酸价/酸值、过氧化值、黄曲霉毒素B₁、苯并[α]芘、溶剂残留量、铅(以Pb计)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玉米油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酸价/酸值、过氧化值、黄曲霉毒素B₁、苯并[α]芘</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芝麻油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酸价/酸值、过氧化值、苯并[α]芘、溶剂残留量、乙基麦芽酚</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菜籽油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酸价/酸值、过氧化值、苯并[α]芘、溶剂残留量、铅(以Pb计)、乙基麦芽酚、铅(以Pb计)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大豆油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酸值/酸价、过氧化值、溶剂残留量、铅(以Pb计)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食用植物调和油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酸价、过氧化值、乙基麦芽酚、铅(以Pb计)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其他食用植物油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酸价/酸值、过氧化值、苯并[α]芘、溶剂残留量</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食用动物油脂</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食用动物油脂</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食用动物油脂</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酸价、过氧化值、丙二醛、苯并[α]芘、铅(以Pb计)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食用油脂制品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食用油脂制品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食用油脂制品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酸价(以脂肪计)、过氧化值、大肠菌群、霉菌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调味品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酱油</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酱油</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酱油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氨基酸态氮、苯甲酸及其钠盐(以苯甲酸计)、山梨酸及其钾盐(以山梨酸计)、脱氢乙酸及其钠盐(以脱氢乙酸计)、对羟基苯甲酸酯类及其钠盐(以对羟基苯甲酸计)、防腐剂混合使用时各自用量占其最大使用量的比例之和、糖精钠(以糖精计)、甜蜜素(以环己基氨基磺酸计)、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食醋</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食醋</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食醋</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总酸(以乙酸计)、不挥发酸(以乳酸计)、苯甲酸及其钠盐(以苯甲酸计)、山梨酸及其钾盐(以山梨酸计)、脱氢乙酸及其钠盐(以脱氢乙酸计)、对羟基苯甲酸酯类及其钠盐(以对羟基苯甲酸计)、防腐剂混合使用时各自用量占其最大使用量的比例之和、糖精钠(以糖精计)、甜蜜素(以环己基氨基磺酸计)、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酱类</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酿造酱</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黄豆酱、甜面酱等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氨基酸态氮、黄曲霉毒素B₁、苯甲酸及其钠盐(以苯甲酸计)、山梨酸及其钾盐(以山梨酸计)、脱氢乙酸及其钠盐(以脱氢乙酸计)、防腐剂混合使用时各自用量占其最大使用量的比例之和、糖精钠(以糖精计)、甜蜜素(以环己基氨基磺酸计)、安赛蜜、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调味料酒</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调味料酒</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料酒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氨基酸态氮、苯甲酸及其钠盐(以苯甲酸计)、山梨酸及其钾盐(以山梨酸计)、脱氢乙酸及其钠盐(以脱氢乙酸计)、甜蜜素(以环己基氨基磺酸计)、三氯蔗糖</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香辛料类</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香辛料类</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香辛料调味油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酸值/酸价、过氧化值</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辣椒、花椒、辣椒粉、花椒粉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铅(以Pb计)、罗丹明B、苏丹红I、苏丹红Ⅱ、苏丹红Ⅲ、苏丹红IV、脱氢乙酸及其钠盐(以脱氢乙酸计)、山梨酸及其钾盐(以山梨酸计)、二氧化硫残留量、合成着色剂(柠檬黄、日落黄、胭脂红)</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其他香辛料调味品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铅(以Pb计)、脱氢乙酸及其钠盐(以脱氢乙酸计)、二氧化硫残留量、合成着色剂(柠檬黄、日落黄、苋菜红、胭脂红、亮蓝)、丙溴磷、氯氰菊酯和高效氯氰菊酯、多菌灵、毒死蜱、克百威</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调味料</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固体复合调味料</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鸡粉、鸡精调味料</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谷氨酸钠、呈味核苷酸二钠、总氮、铅(以Pb计)、糖精钠(以糖精计)、甜蜜素(以环己基氨基磺酸计)、菌落总数、大肠菌群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其他固体调味料</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苯甲酸及其钠盐(以苯甲酸计)、山梨酸及其钾盐(以山梨酸计)、脱氢乙酸及其钠盐(以脱氢乙酸计)、糖精钠(以糖精计)、甜蜜素(以环己基氨基磺酸计)、阿斯巴甜、二氧化硫残留量、苏丹红1、苏丹红Ⅱ、苏丹红Ⅲ、苏丹红IV、罂粟碱、吗啡、可待因、那可丁</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半固体复合调味料</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蛋黄酱、沙拉酱</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二氧化钛</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坚果与籽类的泥(酱)</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酸价/酸值、过氧化值、铅(以Pb计)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辣椒酱</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苯甲酸及其钠盐(以苯甲酸计)、山梨酸及其钾盐(以山梨酸计)、脱氢乙酸及其钠盐(以脱氢乙酸计)、防腐剂混合使用时各自用量占其最大使用量的比例之和、甜蜜素(以环己基氨基磺酸计)、二氧化硫残留量</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火锅底料、麻辣烫底料</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罂粟碱、吗啡、可待因、那可丁、苯甲酸及其钠盐(以苯甲酸计)、山梨酸及其钾盐(以山梨酸计)、脱氢乙酸及其钠盐(以脱氢乙酸计)、防腐剂混合使用时各自用量占其最大使用量的比例之和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其他半固体调味料</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罂粟碱、吗啡、可待因、那可丁、苯甲酸及其钠盐(以苯甲酸计)、山梨酸及其钾盐(以山梨酸计)、脱氢乙酸及其钠盐(以脱氢乙酸计)、甜蜜素(以环己基氨基磺酸计)、安赛蜜</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味精</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味精</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味精</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谷氨酸钠</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食盐</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食用盐</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普通食用盐</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氯化钠、钡(以Ba计)、碘(以I计)、铅(以Pb计)、总砷(以As计)、镉(以Cd计)、总汞(以Hg计)、亚铁氰化钾/亚铁氰化钠(以亚铁氰根计)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低钠食用盐</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氯化钾、钡(以Ba计)、碘(以1计)、铅(以Pb计)、总砷(以As计)、镉(以Cd计)、总汞(以Hg计)、亚铁氰化钾/亚铁氰化钠(以亚铁氰根计)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风味食用盐</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钡(以Ba计)、铅(以Pb计)、总砷(以As计)、镉(以Cd计)、总汞(以Hg计)、亚铁氰化钾/亚铁氰化钠(以亚铁氰根计)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肉制品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预制肉制品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调理肉制品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调理肉制品(非速冻)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腌腊肉制品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腌腊肉制品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过氧化值(以脂肪计)、铅(以Pb计)、总砷(以As计)、亚硝酸盐(以亚硝酸钠计)、苯甲酸及其钠盐(以苯甲酸计)、山梨酸及其钾盐(以山梨酸计)、脱氢乙酸及其钠盐(以脱氢乙酸计)、合成着色剂(柠檬黄、日落黄、胭脂红、诱惑红、苋菜红、酸性红)、氯霉素</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熟肉制品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酱卤肉制品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酱卤肉制品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铬(以Cr计)、总砷(以As计)、N-二甲基亚硝胺、亚硝酸盐(以亚硝酸钠计)、苯甲酸及其钠盐(以苯甲酸计)、山梨酸及其钾盐(以山梨酸计)、脱氢乙酸及其钠盐(以脱氢乙酸计)、纳他霉素、防腐剂混合使用时各自用量占其最大使用量的比例之和、糖精钠(以糖精计)、合成着色剂(柠檬黄、日落黄、胭脂红、诱惑红)、氯霉素、菌落总数、大肠菌群、沙门氏菌、金黄色葡萄球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油炸肉制品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油炸肉制品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N-二甲基亚硝胺、亚硝酸盐(以亚硝酸钠计)、苯甲酸及其钠盐(以苯甲酸计)、山梨酸及其钾盐(以山梨酸计)、脱氢乙酸及其钠盐(以脱氢乙酸计)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熟肉干制品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熟肉干制品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N-二甲基亚硝胺、亚硝酸盐(以亚硝酸钠计)、苯甲酸及其钠盐(以苯甲酸计)、山梨酸及其钾盐(以山梨酸计)、合成着色剂(柠檬黄、日落黄、胭脂红、诱惑红)、氯霉素、菌落总数、大肠菌群、金黄色葡萄球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熏烧烤肉制品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熏烧烤肉制品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苯并[α]芘、N-二甲基亚硝胺、亚硝酸盐(以亚硝酸钠计)、苯甲酸及其钠盐(以苯甲酸计)、山梨酸及其钾盐(以山梨酸计)、那他霉素、氯霉素、菌落总数、大肠菌群、沙门氏菌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熏煮香肠火腿制品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熏煮香肠火腿制品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N-二甲基亚硝胺、亚硝酸盐(以亚硝酸钠计)、苯甲酸及其钠盐(以苯甲酸计)、山梨酸及其钾盐(以山梨酸计)、脱氢乙酸及其钠盐(以脱氢乙酸计)、氯霉素、菌落总数、大肠菌群、沙门氏菌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乳制品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乳制品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液体乳</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巴氏杀菌乳</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蛋白质、酸度、三聚氰胺、铅(以Pb计)、丙二醇、沙门氏菌、金黄色葡萄球菌、菌落总数、大肠菌群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灭菌乳</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蛋白质、非脂乳固体、酸度、脂肪、三聚氰胺、铅(以Pb计)、黄曲霉毒素M、丙二醇、商业无菌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发酵乳</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脂肪、蛋白质、酸度、山梨酸及其钾盐(以山梨酸计)、甜蜜素(以环己基氨基磺酸计)、阿斯巴甜、安赛蜜、三聚氰胺、铅(以Pb计)、金黄色葡萄球菌、沙门氏菌、大肠菌群、霉菌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调制乳</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蛋白质、三聚氰胺、铅(以Pb计)、商业无菌、菌落总数、大肠菌群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乳粉</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乳粉(全脂、脱脂、部分脱脂)和调制乳粉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蛋白质、脂肪、复原乳酸度、杂质度、水分、三聚氰胺、铅(以Pb计)、菌落总数、大肠菌群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其他乳制品(浓缩乳制品、奶油、干酪、固态成型产品)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浓缩乳制品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蛋白质、三聚氰胺、商业无菌、菌落总数、大肠菌群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干酪、再制干酪、干酪制品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三聚氰胺、金黄色葡萄球菌、沙门氏菌、单核细胞增生李斯特氏菌、菌落总数、大肠菌群、霉菌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奶片、奶条等固态成型产品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蛋白质、三聚氰胺、脱氢乙酸及其钠盐(以脱氢乙酸计)、沙门氏菌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饮料</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饮料</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包装饮用水</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饮用天然矿泉水</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界限指标、铅(以Pb计)、总砷(以As计)、总汞(以Hg计)、溴酸盐、硝酸盐(以NO₃“计)、亚硝酸盐(以NO₂计)、大肠菌群、铜绿假单胞菌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饮用纯净水</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电导率、耗氧量、铅(以Pb计)、总砷(以As计)、亚硝酸盐(以NaNO₂计)、余氯(游离氯)、溴酸盐、大肠菌群、铜绿假单胞菌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其他类饮用水</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耗氧量、铅(以Pb计)、总砷(以As计)、亚硝酸盐(以NaNO₂计)、溴酸盐、余氯(游离氯)、大肠菌群、铜绿假单胞菌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果蔬汁类及其饮料</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果蔬汁类及其饮料</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展青霉素、苯甲酸及其钠盐(以苯甲酸计)、山梨酸及其钾盐(以山梨酸计)、脱氢乙酸及其钠盐(以脱氢乙酸计)、防腐剂混合使用时各自用量占其最大使用量的比例之和、安赛蜜、甜蜜素(以环己基氨基磺酸计)、合成着色剂(柠檬黄、新红、苋菜红、靛蓝、胭脂红、日落黄、诱惑红、亮蓝、酸性红、喹啉黄、赤藓红)、阿斯巴甜、菌落总数、大肠菌群、霉菌、酵母</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蛋白饮料</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蛋白饮料</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蛋白质、乳酸菌数、氰化物(以HCN计)、脱氢乙酸及其钠盐(以脱氢乙酸计)、安赛蜜、甜蜜素(以环己基氨基磺酸计)、阿斯巴甜、菌落总数、大肠菌群、商业无菌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碳酸饮料(汽水)</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碳酸饮料(汽水)</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二氧化碳气容量、苯甲酸及其钠盐(以苯甲酸计)、山梨酸及其钾盐(以山梨酸计)、安赛蜜、甜蜜素(以环己基氨基磺酸计)、阿斯巴甜、菌落总数、霉菌、酵母</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茶饮料</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茶饮料</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茶多酚、咖啡因、脱氢乙酸及其钠盐(以脱氢乙酸计)、安赛蜜、甜蜜素(以环己基氨基磺酸计)、阿斯巴甜、菌落总数</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固体饮料</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固体饮料</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乳酸菌数、西地那非、他达拉非、西布曲明、比沙可啶、铅(以Pb计)、氰化物(以HCN计)、苯甲酸及其钠盐(以苯甲酸计)、山梨酸及其钾盐(以山梨酸计)、糖精钠(以糖精计)、安赛蜜、甜蜜素(以环己基氨基磺酸计)、阿斯巴甜、合成着色剂(柠檬黄、新红、苋菜红、靛蓝、胭脂红、日落黄、诱惑红、亮蓝、酸性红、喹啉黄、赤藓红)、相同色泽着色剂混合使用时各自用量占其最大使用量的比例之和、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其他饮料</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其他饮料</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糖精钠(以糖精计)、安赛蜜、甜蜜素(以环己基氨基磺酸计)、合成着色剂(柠檬黄、新红、苋菜红、靛蓝、胭脂红、日落黄、诱惑红、亮蓝、酸性红、喹啉黄、赤藓红)、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方便食品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方便食品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方便面</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油炸面、非油炸面</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水分、酸价(以脂肪计)(KOH)、过氧化值(以脂肪计)、菌落总数、大肠菌群、霉菌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方便米粉(米线)</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水分、菌落总数、大肠菌群、霉菌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方便粉丝</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水分、菌落总数、大肠菌群、霉菌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其他方便面</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水分、酸价(以脂肪计)(KOH)、过氧化值(以脂肪计)、菌落总数、大肠菌群、霉菌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调味面制品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调味面制品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苯甲酸及其钠盐(以苯甲酸计)、山梨酸及其钾盐(以山梨酸计)、脱氢乙酸及其钠盐(以脱氢乙酸计)、糖精钠(以糖精计)、甜蜜素(以环己基氨基磺酸计)、安赛蜜、三氯蔗糖、合成着色剂(柠檬黄、日落黄、诱惑红、苋菜红、胭脂红)、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其他方便食品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冲调类方便食品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酸价(以脂肪计)(KOH)、过氧化值(以脂肪计)、黄曲霉毒素B₁、苯甲酸及其钠盐(以苯甲酸计)、山梨酸及其钾盐(以山梨酸计)、糖精钠(以糖精计)、菌落总数、大肠菌群、霉菌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主食类方便食品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酸价(以脂肪计)(KOH)、过氧化值(以脂肪计)、铅(以Pb计)、苯甲酸及其钠盐(以苯甲酸计)、山梨酸及其钾盐(以山梨酸计)、脱氢乙酸及其钠盐(以脱氢乙酸计)、糖精钠(以糖精计)、菌落总数、大肠菌群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其他类方便食品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酸价(以脂肪计)(KOH)、过氧化值(以脂肪计)、铅(以Pb计)、苯甲酸及其钠盐(以苯甲酸计)、山梨酸及其钾盐(以山梨酸计)、糖精钠(以糖精计)、菌落总数、大肠菌群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饼干</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饼干</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饼干</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饼干</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苯甲酸及其钠盐(以苯甲酸计)、山梨酸及其钾盐(以山梨酸计)、铝的残留量(干样品，以A1计)、脱氢乙酸及其钠盐(以脱氢乙酸计)、甜蜜素(以环己基氨基磺酸计)、糖精钠(以糖精计)、二氧化硫残留量、合成着色剂(柠檬黄、日落黄、胭脂红、苋菜红、亮蓝、靛蓝、诱惑红)、菌落总数、大肠菌群、金黄色葡萄球菌、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罐头</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罐头</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畜禽水产罐头</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畜禽肉类罐头</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铅(以Pb计)、镉(以Cd计)、脱氢乙酸及其钠盐(以脱氢乙酸计)、苯甲酸及其钠盐(以苯甲酸计)、山梨酸及其钾盐(以山梨酸计)、商业无菌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水产动物类罐头</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组胺、铅(以Pb计)、无机砷(以As计)、脱氢乙酸及其钠盐(以脱氢乙酸计)、苯甲酸及其钠盐(以苯甲酸计)、山梨酸及其钾盐(以山梨酸计)、糖精钠(以糖精计)、甜蜜素(以环己基氨基磺酸计)、商业无菌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果蔬罐头</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水果类罐头</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合成着色剂(柠檬黄、日落黄、苋菜红、胭脂红、赤藓红、诱惑红、亮蓝)、脱氢乙酸及其钠盐(以脱氢乙酸计)、苯甲酸及其钠盐(以苯甲酸计)、山梨酸及其钾盐(以山梨酸计)、糖精钠(以糖精计)、甜蜜素(以环己基氨基磺酸计)、二氧化硫残留量、商业无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蔬菜类罐头</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合成着色剂(柠檬黄、日落黄)、脱氢乙酸及其钠盐(以脱氢乙酸计),苯甲酸及其钠盐(以苯甲酸计),山梨酸及其钾盐(以山梨酸计)、二氧化硫残留量、商业无菌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其他罐头</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其他罐头</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黄曲霉毒素B₁、脱氢乙酸及其钠盐(以脱氢乙酸计)、苯甲酸及其钠盐(以苯甲酸计)、山梨酸及其钾盐(以山梨酸计)、乙二胺四乙酸二钠、商业无菌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冷冻饮品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冷冻饮品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冷冻饮品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冰淇淋、雪糕、雪泥、冰棍、食用冰、甜味冰、其他类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甜蜜素(以环己基氨基磺酸计)、糖精钠(以糖精计)、安赛蜜、三氯蔗糖、合成着色剂(柠檬黄、日落黄、新红、苋菜红、靛蓝、胭脂红、诱惑红、亮蓝、酸性红、喹啉黄、赤藓红)、菌落总数、大肠菌群、沙门氏菌、单核细胞增生李斯特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速冻食品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速冻面米食品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速冻面米食品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速冻面米生制品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过氧化值(以脂肪计)、铅(以Pb计)、糖精钠(以糖精计)、甜蜜素(以环己基氨基磺酸计)、合成色素(柠檬黄、日落黄、苋菜红、亮蓝)</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速冻面米熟制品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过氧化值(以脂肪计)、铅(以Pb计)、糖精钠(以糖精计)、甜蜜素(以环己基氨基磺酸计)、合成色素(柠檬黄、日落黄、苋菜红、亮蓝)、菌落总数、大肠菌群、沙门氏菌、金黄色葡萄球菌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速冻调制食品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速冻调理肉制品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速冻调理肉制品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过氧化值(以脂肪计)、铅(以Pb计)、铬(以Cr计)、氯霉素、合成色素(胭脂红、柠檬黄、日落黄、诱惑红)、亚硝酸盐、菌落总数、大肠菌群、沙门氏菌、金黄色葡萄球菌、单核细胞增生李斯特氏菌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速冻调制水产制品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速冻调制水产制品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挥发性盐基氮、苯甲酸及其钠盐(以苯甲酸计)、山梨酸及其钾盐(以山梨酸计)、二氧化硫残留量、菌落总数、大肠菌群、沙门氏菌、副溶血性弧菌、单核细胞增生李斯特氏菌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薯类和膨化食品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薯类和膨化食品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膨化食品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含油型膨化食品和非含油型膨化食品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水分、酸价(以脂肪计)(KOH)、过氧化值(以脂肪计)、黄曲霉毒素B₁、糖精钠(以糖精计)、苯甲酸及其钠盐(以苯甲酸计)、山梨酸及其钾盐(以山梨酸计)、甜蜜素(以环己基氨基磺酸计)、菌落总数、大肠菌群、沙门氏菌、金黄色葡萄球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薯类食品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干制薯类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酸价(以脂肪计)(KOH)、过氧化值(以脂肪计)、菌落总数、大肠菌群、铅(以Pb计)、二氧化硫残留量、沙门氏菌、金黄色葡萄球菌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薯粉类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铅(以Pb计)、二氧化硫残留量</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其他薯类食品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铅(以Pb计)、沙门氏菌、金黄色葡萄球菌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糖果制品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糖果制品(含巧克力及制品)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糖果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糖果(含琼锅糖、蓼花糖、雪花糖等)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糖精钠(以糖精计)、甜蜜素(以环己基氨基磺酸计)、合成着色剂(柠檬黄、新红、苋菜红、靛蓝、胭脂红、日落黄、诱惑红、亮蓝、酸性红、喹啉黄、赤藓红)、相同色泽着色剂混合使用时各自用量占其最大使用量的比例之和、二氧化硫残留量、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巧克力及巧克力制品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巧克力、巧克力制品、代可可脂巧克力及代可可脂巧克力制品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铅(以Pb计)、沙门氏菌、着色剂(赤藓红、靛蓝、亮蓝、柠檬黄、日落黄、喹啉黄、酸性红、苋菜红、新红、胭脂红、诱惑红，具体视产品色泽而定)</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果冻</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糖精钠(以糖精计)、甜蜜素(以环己基氨基磺酸计)、安赛蜜、合成着色剂(柠檬黄、新红、苋菜红、靛蓝、胭脂红、日落黄、诱惑红、亮蓝、酸性红、喹啉黄、赤藓红)、菌落总数、大肠菌群、霉菌、酵母、双丙酚丁</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茶叶及相关制品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茶叶</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绿茶、红茶、乌龙茶、黄茶、白茶、黑茶、花茶、袋泡茶、紧压茶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草甘膦、吡虫啉联苯菊酯、灭多威、三氯杀螨醇、氰戊菊酯和S-氰戊菊酯、克百威、水胺硫磷、氧乐果、毒死蜱、啶虫脒、多菌灵、茚虫威、糖精钠(以糖精计)、甜蜜素(以环己基氨基磺酸计)、合成着色剂(柠檬黄、日落黄、胭脂红、亮蓝)</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代用茶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代用茶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铅(以Pb计)、二氧化硫残留量、啶虫脒、克百威、毒死蜱、吡虫啉、氯氟氰菊酯和高效氯氟氰菊酯、三唑磷、霉菌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酒类</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蒸馏酒</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白酒</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白酒、白酒(液态)、白酒(原酒)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酒精度、甲醇、氰化物(以HCN计)、糖精钠(以糖精计)、甜蜜素(以环己基氨基磺酸计)、三氯蔗糖、安赛蜜、纽甜</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发酵酒</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黄酒</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酒精度、氨基酸态氮、苯甲酸及其钠盐(以苯甲酸计)、山梨酸及其钾盐(以山梨酸计)、糖精钠(以糖精计)、甜蜜素(以环己基氨基磺酸计)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啤酒</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啤酒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酒精度</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葡萄酒</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葡萄酒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酒精度、苯甲酸及其钠盐(以苯甲酸计)、山梨酸及其钾盐(以山梨酸计)、糖精钠(以糖精计)、甲醇、二氧化硫残留量、甜蜜素(以环己基氨基磺酸计)、三氯蔗糖、合成着色剂(柠檬黄、日落黄、新红、胭脂红、赤藓红、苋菜红、诱惑红、酸性红、亮蓝)</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果酒</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酒精度、展青霉素、糖精钠(以糖精计)、甜蜜素(以环己基氨基磺酸计)、安赛蜜、二氧化硫残留量、酸性红</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其他酒</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配制酒</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以蒸馏酒及食用酒精为酒基的配制酒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酒精度、甲醇、氰化物(以HCN计)、甜蜜素(以环己基氨基磺酸计)、安赛蜜、育亨宾</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以发酵酒为酒基的配制酒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酒精度、苯甲酸及其钠盐(以苯甲酸计)、山梨酸及其钾盐(以山梨酸计)、甜蜜素(以环己基氨基磺酸计)、安赛蜜</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其他发酵酒</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其他发酵酒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酒精度、苯甲酸及其钠盐(以苯甲酸计)、山梨酸及其钾盐(以山梨酸计)、糖精钠(以糖精计)、甜蜜素(以环己基氨基磺酸计)、安赛蜜</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蔬菜制品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蔬菜制品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酱腌菜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酱腌菜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苯甲酸及其钠盐(以苯甲酸计)、山梨酸及其钾盐(以山梨酸计)、脱氢乙酸及其钠盐(以脱氢乙酸计)、甜蜜素(以环己基氨基磺酸计)、安赛蜜、二氧化硫残留量、防腐剂混合使用时各自用量占其最大使用量的比例之和、糖精钠(以糖精计)、合成着色剂(柠檬黄、日落黄、诱惑红)、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蔬菜干制品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蔬菜干制品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苯甲酸及其钠盐(以苯甲酸计)、山梨酸及其钾盐(以山梨酸计)、二氧化硫残留量、合成着色剂(柠檬黄、日落黄、胭脂红、苋菜红、亮蓝)</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其他蔬菜制品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其他蔬菜制品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苯甲酸及其钠盐(以苯甲酸计)、山梨酸及其钾盐(以山梨酸计)、脱氢乙酸及其钠盐(以脱氢乙酸计)、二氧化硫残留量</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食用菌制品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干制食用菌</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铅(以Pb计)、镉(以Cd计)、甲基汞(以Hg计)、无机砷(以As计)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腌渍食用菌</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苯甲酸及其钠盐(以苯甲酸计)、山梨酸及其钾盐(以山梨酸计),脱氢乙酸及其钠盐(以脱氢乙酸计)、防腐剂混合使用时各自用量占其最大使用量的比例之和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水果制品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水果制品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蜜饯</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蜜饯类、凉果类、果脯类、话化类、果糕类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苯甲酸及其钠盐(以苯甲酸计)、山梨酸及其钾盐(以山梨酸计)、脱氢乙酸及其钠盐(以脱氢乙酸计)、防腐剂混合使用时各自用量占其最大使用量的比例之和、糖精钠(以糖精计)、甜蜜素(以环己基氨基磺酸计)、安赛蜜、二氧化硫残留量、合成着色剂(亮蓝、柠檬黄、日落黄、苋菜红、胭脂红、诱惑红、喹啉黄)、相同色泽着色剂混合使用时各自用量占其最大使用量的比例之和、乙二胺四乙酸二钠、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水果干制品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水果干制品(含干枸杞)</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啶虫脒、吡虫啉、克百威、氯氟氰菊酯和高效氯氟氰菊酯、氯氰菊酯和高效氯氰菊酯、苯甲酸及其钠盐(以苯甲酸计)、山梨酸及其钾盐(以山梨酸计)、脱氢乙酸及其钠盐(以脱氢乙酸计)、糖精钠(以糖精计)、二氧化硫残留量、合成着色剂(亮蓝、柠檬黄、日落黄、苋菜红、胭脂红、诱惑红、喹啉黄)、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果酱</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果酱</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脱氢乙酸及其钠盐(以脱氢乙酸计)、二氧化硫残留量、菌落总数、大肠菌群、霉菌、商业无菌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炒货食品及坚果制品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炒货食品及坚果制品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瓜子</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瓜子</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铅(以Pb计),黄曲霉毒素B₁、苯甲酸及其钠盐(以苯甲酸计)、山梨酸及其钾盐(以山梨酸计)、脱氢乙酸及其钠盐(以脱氢乙酸计)、二氧化硫残留量、糖精钠(以糖精计)、甜蜜素(以环己基氨基磺酸计)、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花生制品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花生制品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铅(以Pb计)、黄曲霉毒素B₁、苯甲酸及其钠盐(以苯甲酸计)、山梨酸及其钾盐(以山梨酸计)、脱氢乙酸及其钠盐(以脱氢乙酸计)、二氧化硫残留量、糖精钠(以糖精计)、甜蜜素(以环己基氨基磺酸计)、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其他炒货食品及坚果制品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炒货食品及坚果制品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酸价(以脂肪计)(KOH)、过氧化值(以脂肪计)、黄曲霉毒素B₁、苯甲酸及其钠盐(以苯甲酸计)、山梨酸及其钾盐(以山梨酸计)、脱氢乙酸及其钠盐(以脱氢乙酸计)、二氧化硫残留量、糖精钠(以糖精计)、大肠菌群、霉菌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再制蛋</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再制蛋</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铅(以Pb计)、苯甲酸及其钠盐(以苯甲酸计)、山梨酸及其钾盐(以山梨酸计)、菌落总数、大肠菌群、沙门氏菌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冰蛋制品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冰蛋制品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菌落总数、大肠菌群、沙门氏菌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其他蛋制品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其他蛋制品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铅(以Pb计)、苯甲酸及其钠盐(以苯甲酸计)、山梨酸及其钾盐(以山梨酸计)、脱氢乙酸及其钠盐(以脱氢乙酸计)、菌落总数、大肠菌群、沙门氏菌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可可及焙烤咖啡产品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可可制品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焙炒咖啡</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焙炒咖啡</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咖啡因、铅(以Pb计)、赭曲霉毒素A</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可可制品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可可制品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铅(以Pb计)、沙门氏菌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食糖</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食糖</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食糖</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白砂糖</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蔗糖分、还原糖分、色值、干燥失重、二氧化硫残留量、螨</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绵白糖</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蔗糖分、还原糖分、色值、干燥失重</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赤砂糖</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总糖分、不溶于水杂质、干燥失重、二氧化硫残留量、螨、合成着色剂(柠檬黄、新红、苋菜红、胭脂红、诱惑红、酸性红、赤藓红)</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红糖</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总糖分、不溶于水杂质、干燥失重、二氧化硫残留量、螨、合成着色剂(柠檬黄、新红、苋菜红、胭脂红、诱惑红、酸性红、赤藓红)</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冰糖</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蔗糖分、还原糖分、色值、干燥失重、二氧化硫残留量、螨、合成着色剂(柠檬黄、日落黄、诱惑红、喹啉黄)</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方糖</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蔗糖分、还原糖分、色值、干燥失重、二氧化硫残留量、螨</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水产制品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水产制品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干制水产品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藻类干制品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预制动物性水产干制品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镉(以Cd计)、苯甲酸及其钠盐(以苯甲酸计)、山梨酸及其钾盐(以山梨酸计)、合成着色剂(柠檬黄、胭脂红、日落黄)</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盐渍水产品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盐渍藻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铅(以Pb计)、苯甲酸及其钠盐(以苯甲酸计)、山梨酸及其钾盐(以山梨酸计)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其他盐渍水产品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鱼糜制品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预制鱼糜制品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苯甲酸及其钠盐(以苯甲酸计)、山梨酸及其钾盐(以山梨酸计)、脱氢乙酸及其钠盐(以脱氢乙酸计)、合成着色剂(诱惑红、日落黄、柠檬黄)</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熟制动物性水产制品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熟制动物性水产制品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铅(以Pb计)、镉(以Cd计)、苯甲酸及其钠盐(以苯甲酸计)、山梨酸及其钾盐(以山梨酸计)、甜蜜素(以环己基氨基磺酸计)、脱氢乙酸及其钠盐(以脱氢乙酸计)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生食水产品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生食动物性水产品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挥发性盐基氮、苯甲酸及其钠盐(以苯甲酸计)、山梨酸及其钾盐(以山梨酸计)、铝的残留量(以即食海蜇中A1计)、菌落总数、大肠菌群、沙门氏菌、副溶血性弧菌、单核细胞增生李斯特氏菌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其他水产制品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其他水产制品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苯甲酸及其钠盐(以苯甲酸计)、山梨酸及其钾盐(以山梨酸计)、脱氢乙酸及其钠盐(以脱氢乙酸计)、菌落总数</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淀粉及淀粉制品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淀粉及淀粉制品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淀粉</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淀粉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铅(以Pb计)、霉菌和酵母、二氧化硫残留量、脱氢乙酸及其钠盐(以脱氢乙酸计)、葛根素、水分、氢氰酸</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淀粉制品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粉丝粉条</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铅(以Pb计)、苯甲酸及其钠盐(以苯甲酸计)、山梨酸及其钾盐(以山梨酸计)、脱氢乙酸及其钠盐(以脱氢乙酸计)、铝的残留量(干样品，以A1计)、二氧化硫残留量、合成着色剂(柠檬黄、日落黄)</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其他淀粉制品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苯甲酸及其钠盐(以苯甲酸计)、山梨酸及其钾盐(以山梨酸计)、脱氢乙酸及其钠盐(以脱氢乙酸计)、铝的残留量(干样品，以A1计)、二氧化硫残留量</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淀粉糖</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淀粉糖</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铅(以Pb计)、总砷(以As计)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糕点</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糕点</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糕点</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糕点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铅(以Pb计)、苯甲酸及其钠盐(以苯甲酸计)、山梨酸及其钾盐(以山梨酸计)、糖精钠(以糖精计)、甜蜜素(以环己基氨基磺酸计)、安赛蜜、铝的残留量(干样品，以A1计)、丙酸及其钠盐、钙盐(以丙酸计)、脱氢乙酸及其钠盐(以脱氢乙酸计)、纳他霉素、、丙二醇、合成着色剂(柠檬黄、日落黄、胭脂红、苋菜红、亮蓝、赤藓红、诱惑红)、菌落总数、大肠菌群、金黄色葡萄球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月饼</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月饼</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苯甲酸及其钠盐(以苯甲酸计)、山梨酸及其钾盐(以山梨酸计)、糖精钠(以糖精计)、铝的残留量(干样品，以A1计)、丙酸及其钠盐、钙盐(以丙酸计)、脱氢乙酸及其钠盐(以脱氢乙酸计)、纳他霉素、合成着色剂(柠檬黄、日落黄、胭脂红、苋菜红、亮蓝、赤藓红、诱惑红)、防腐剂混合使用时各自用量占其最大使用量的比例之和、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粽子</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粽子</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山梨酸及其钾盐(以山梨酸计)、糖精钠(以糖精计)、安赛蜜、菌落总数、大肠菌群、金黄色葡萄球菌、沙门氏菌、霉菌、脱氢乙酸及其钠盐(以脱氢乙酸计)、商业无菌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面包</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面包</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过氧化值(以脂肪计)、苯甲酸及其钠盐(以苯甲酸计)、山梨酸及其钾盐(以山梨酸计)、糖精钠(以糖精计)、铝的残留量(干样品，以Al计)、脱氢乙酸及其钠盐(以脱氢乙酸计)、合成着色剂(柠檬黄、日落黄、胭脂红、苋菜红、亮蓝、赤藓红、新红)、防腐剂混合使用时各自用量占其最大使用量的比例之和、菌落总数、大肠菌群、霉菌、铅(以Pb计)、甜蜜素(以环己基氨基磺酸计)、安赛蜜、金黄色葡萄球菌、沙门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发酵性豆制品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腐乳、豆豉、纳豆等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黄曲霉毒素B₁、苯甲酸及其钠盐(以苯甲酸计)、山梨酸及其钾盐(以山梨酸计)、脱氢乙酸及其钠盐(以脱氢乙酸计)、糖精钠(以糖精计)、甜蜜素(以环己基氨基磺酸计)、铝的残留量(干样品、以Al计)、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非发酵性豆制品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腐竹、油皮及其再制品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蛋白质、铅(以Pb计)、苯甲酸及其钠盐(以苯甲酸计)、山梨酸及其钾盐(以山梨酸计)、脱氢乙酸及其钠盐(以脱氢乙酸计)、二氧化硫残留量、铝的残留量(干样品，以A1计)、合成着色剂(柠檬黄、日落黄)</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豆干、豆腐、豆皮等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苯甲酸及其钠盐(以苯甲酸计)、山梨酸及其钾盐(以山梨酸计)、脱氢乙酸及其钠盐(以脱氢乙酸计)、丙酸及其钠盐、钙盐(以丙酸计)、防腐剂混合使用时各自用量占其最大使用量的比例之和、糖精钠(以糖精计)、三氯蔗糖、甜蜜素(以环己基氨基磺酸计)、铝的残留量(干样品，以A1计)、合成着色剂(柠檬黄、日落黄)、大肠菌群、金黄色葡萄球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其他豆制品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大豆蛋白类制品等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苯甲酸及其钠盐(以苯甲酸计)、山梨酸及其钾盐(以山梨酸计)、脱氢乙酸及其钠盐(以脱氢乙酸计)、糖精钠(以糖精计)、三氯蔗糖、铝残留量(干样品，以A1计)、合成着色剂(柠檬黄、日落黄)、大肠菌群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蜂产品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蜂产品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果糖和葡萄糖、蔗糖、山梨酸及其钾盐(以山梨酸计)、氯霉素、呋喃西林代谢物、呋喃唑酮代谢物、甲硝唑、双甲脒、氟胺氰菊酯、诺氟沙星、氧氟沙星、菌落总数</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蜂王浆(含蜂王浆冻干品)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蜂王浆(含蜂王浆冻干品)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10-羟基-2-癸烯酸、酸度、蛋白质、呋喃西林代谢物</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蜂花粉</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蜂花粉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蜂产品制品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蜂产品制品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山梨酸及其钾盐(以山梨酸计)、合成着色剂(柠檬黄、日落黄)、菌落总数</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特殊膳食食品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婴幼儿辅助食品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婴幼儿谷类辅助食品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婴幼儿谷物辅助食品、婴幼儿高蛋白谷物辅助食品、婴幼儿生制类谷物辅助食品、婴幼儿饼干或其他婴幼儿谷物辅助食品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能量、蛋白质、脂肪、亚油酸、月桂酸占总脂肪的比值、肉豆蔻酸占总脂肪的比值、维生素A、维生素D、维生素B₁、钙、铁、锌、钠、维生素E、维生素B₂、维生素Be、维生素B₁2、烟酸、叶酸、泛酸、维生素C、生物素、磷、碘、钾、水分、不溶性膳食纤维、脲酶活性定性测定、铅(以Pb计)、无机砷(以As计)、锡(以Sn计)、镉(以Cd计)、黄曲霉毒素B₁、硝酸盐(以NaNO₃计)、亚硝酸盐(以NaNO₂计)、菌落总数、大肠菌群、沙门氏菌、二十二碳六烯酸、花生四烯酸、金黄色葡萄球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婴幼儿罐装辅助食品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泥(糊)状罐装食品、颗粒状罐装食品、汁类罐装食品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蛋白质、脂肪、总钠、铅(以Pb计)、无机砷(以As计)、总汞(以Hg计)、锡(以Sn计)、硝酸盐(以NaNO₃计)、亚硝酸盐(以NaNO₂计)、商业无菌、霉菌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餐饮食品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米面及其制品(自制)</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小麦粉制品(自制)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馒头花卷(自制)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苯甲酸及其钠盐(以苯甲酸计),山梨酸及其钾盐(以山梨酸计)、糖精钠(以糖精计)、脱氢乙酸及其钠盐(以脱氢乙酸计)、甜蜜素(以环己基氨基磺酸计)、铅、合成着色剂(柠檬黄、日落黄、胭脂红、苋菜红、亮蓝)</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包子(自制)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苯甲酸及其钠盐(以苯甲酸计)、山梨酸及其钾盐(以山梨酸计)、脱氢乙酸及其钠盐(以脱氢乙酸计)、甜蜜素(以环己基氨基磺酸计)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油饼油条(自制)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铝的残留量(干样品，以A1计)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凉皮(自制)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脱氢乙酸及其钠盐(以脱氢乙酸计)、柠檬黄</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肉制品(自制)</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熟肉制品(自制)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肉冻皮冻(自制)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铬(以Cr计)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熏烧烤肉类(自制)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N-二甲基亚硝胺、苯并[α]芘、铅(以Pb计)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调味料(自制)</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调味料(自制)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火锅麻辣烫底料(自制)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罂粟碱、吗啡、可待因、那可丁</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水产制品(自制)</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预制水产制品(自制)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生食动物性水产品(自制)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铝的残留量(以即食海蜇中A1计)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坚果及籽类食品(自制)</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坚果及籽类食品(自制)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花生制品(自制)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过氧化值(以脂肪计)、黄曲霉毒素B₁、苯甲酸及其钠盐(以苯甲酸计)、山梨酸及其钾盐(以山梨酸计)、脱氢乙酸及其钠盐(以脱氢乙酸计)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餐饮具</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复用餐饮具</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复用餐饮具(餐馆自行消毒)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阴离子合成洗涤剂(以十二烷基苯磺酸钠计)、大肠菌群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复用餐饮具(集中清洗消毒服务单位消毒)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阴离子合成洗涤剂(以十二烷基苯磺酸钠计)、大肠菌群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焙烤食品(自制)</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焙烤食品(自制)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糕点(自制)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山梨酸及其钾盐(以山梨酸计)、脱氢乙酸及其钠盐(以脱氢乙酸计)、铝的残留量(干样品，以A1计)、着色剂(赤藓红、靛蓝、亮蓝、柠檬黄、日落黄、喹啉黄、酸性红、苋菜红、新红、胭脂红、诱惑红，具体视产品色泽而定)</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食用油、油脂及其制品(自制)</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食用油、油脂及其制品(自制)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煎炸过程用油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极性组分、酸价(KOH)</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淀粉制品(自制)</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粉丝粉条(自制)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粉丝粉条(自制)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铝的残留量(干样品，以Al计)、脱氢乙酸及其钠盐(以脱氢乙酸计)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饮料(自制)</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饮料(自制)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奶茶(自制)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其他餐饮食品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节令食品(自制)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月饼(自制)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铝的残留量(干样品，以A1计)、脱氢乙酸及其钠盐(以脱氢乙酸计)、山梨酸及其钾盐(以山梨酸计)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粽子(自制)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山梨酸及其钾盐(以山梨酸计)、脱氢乙酸及其钠盐(以脱氢乙酸计)、糖精钠(以糖精计)、安赛蜜</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畜禽肉及副产品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畜禽肉及副产品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畜肉</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猪肉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挥发性盐基氮、水分、氯霉素、沙丁胺醇、恩诺沙星、替米考星、磺胺类(总量)、氟苯尼考、多西环素、地塞米松、土霉素/金霉素/四环素(组合含量)</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牛肉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挥发性盐基氮、水分、莱克多巴胺、沙丁胺醇、克伦特罗、恩诺沙星、磺胺类(总量)、地塞米松、氯霉素</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羊肉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克伦特罗、莱克多巴胺、沙丁胺醇、氯霉素、恩诺沙星、磺胺类(总量)、氟苯尼考</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其他畜肉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呋喃唑酮代谢物、氯霉素、克伦特罗、莱克多巴胺、沙丁胺醇、氧氟沙星</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畜副产品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猪肝</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氯霉素、恩诺沙星、磺胺类(总量)、甲氧苄啶</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猪肾</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氯霉素、恩诺沙星、磺胺类(总量)、甲氧苄啶</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其他畜副产品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氯霉素、恩诺沙星、磺胺类(总量)、甲氧苄啶</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禽肉</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鸡肉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挥发性盐基氮、水分、呋喃西林代谢物、氧氟沙星、培氟沙星、诺氟沙星、恩诺沙星、甲氧苄啶、氟苯尼考、多西环素、土霉素/金霉素/四环素(组合含量)、氯霉素、磺胺类</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鸭肉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氯霉素、氧氟沙星、恩诺沙星、磺胺类(总量)、氟苯尼考、多西环素、甲硝唑</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其他禽肉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氯霉素、氧氟沙星、培氟沙星、恩诺沙星、磺胺类(总量)、多西环素、甲硝唑</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禽副产品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鸡肝</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呋喃唑酮代谢物、呋喃西林代谢物、氯霉素、氧氟沙星、恩诺沙星、环丙氨嗪</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其他禽副产品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呋喃唑酮代谢物、呋喃西林代谢物、氯霉素、诺氟沙星</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蔬菜</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蔬菜</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豆芽</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豆芽</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铅(以Pb计)、总汞(以Hg计)、4-氯苯氧乙酸钠(以4-氯苯氧乙酸计)、6-苄基腺嘌呤(6-BA)、亚硫酸盐(以SO₂计)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鲜食用菌</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鲜食用菌</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镉(以Cd计)、无机砷(以As计)、百菌清、除虫脲、氯氟氰菊酯和高效氯氟氰菊酯、氯氰菊酯和高效氯氰菊酯</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鳞茎类蔬菜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韭菜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铅(以Pb计)、镉(以Cd计)、阿维菌素、敌敌畏、毒死蜱、多菌灵、二甲戊灵、腐霉利、甲胺磷、克百威、乐果、氯氟氰菊酯和高效氯氟氰菊酯、氯氰菊酯和高效氯氰菊酯、三唑磷、辛硫磷、氧乐果、乙酰甲胺磷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葱</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铅(以Pb计)、镉(以Cd计)、丙环唑、毒死蜱、甲拌磷、甲基异柳磷、克百威、乐果、氯氰菊酯和高效氯氟氰菊酯、噻虫嗪、三唑磷、水胺硫磷、戊唑醇、氧乐果、乙酰甲胺磷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叶菜类蔬菜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菠菜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铬(以Cr计)、腐霉利、甲氨基阿维菌素苯甲酸盐、氯氟氰菊酯和高效氯氟氰菊酯、阿维菌素、吡虫啉、敌敌畏、啶虫脒、毒死蜱、氟虫腈、甲胺磷、甲拌磷、乐果、水胺硫磷、氧乐果、乙酰甲胺磷、唑虫酰胺</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大白菜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镉(以Cd计)、阿维菌素、吡虫啉、毒死蜱、氟虫腈、甲拌磷、乐果、氧乐果、乙酰甲胺磷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普通白菜(小白菜、小油菜、青菜)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阿维菌素、吡虫啉、敌敌畏、啶虫脒、毒死蜱、氟虫腈、氟氯氰菊酯和高效氟氯氰菊酯、甲氨基阿维菌素苯甲酸盐、甲胺磷、甲拌磷、甲基异柳磷、克百威、氯氟氰菊酯和高效氯氟氰菊酯、氯氰菊酯和高效氯氰菊酯、噻虫胺、水胺硫磷、氧乐果、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芹菜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阿维菌素、百菌清、苯醚甲环唑、敌敌畏、啶虫脒、毒死蜱、二甲戊灵、氟虫腈、甲拌磷、甲基异柳磷、腈菌唑、克百威、乐果、氯氟氰菊酯和高效氯氟氰菊酯、氯氰菊酯和高效氯氰菊酯、噻虫胺、噻虫嗪、三氯杀螨醇、水胺硫磷、辛硫磷、氧乐果、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油麦菜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阿维菌素、吡虫啉、啶虫脒、毒死蜱、氟虫腈、甲氨基阿维菌素苯甲酸盐、甲拌磷、腈菌唑、氯氟氰菊酯和高效氯氟氰菊酯、灭多威、噻虫嗪、氧乐果、乙酰甲胺磷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茼蒿</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甲拌磷、啶虫脒、毒死蜱、敌敌畏、克百威</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茄果类蔬菜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茄子</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铅(以Pb计)、镉(以Cd计)、吡唑醚菌酯、毒死蜱、甲氨基阿维菌素苯甲酸盐、甲胺磷、甲拌磷、克百威、噻虫胺、噻虫嗪、霜霉威和霜霉威盐酸盐、水胺硫磷、氧乐果、乙酰甲胺磷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辣椒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铅(以Pb计)、倍硫磷、吡虫味、吡唑醚菌酯、丙溴磷、敌敌畏、啶虫脒、毒死蜱、呋虫胺、氟虫腈、甲氨基阿维菌素苯甲酸盐、甲胺磷、甲拌磷、克百威、乐果、联苯菊酯、氯氟氰菊酯和高效氯氟氰菊酯、噻虫胺、噻虫嗪、三唑磷、杀扑磷、水胺硫磷、氧乐果、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甜椒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镉(以Cd计)、阿维菌素、倍硫磷、吡虫味、吡唑醚菌酯、毒死蜱、克百威、噻虫胺、噻虫嗪、氧乐果</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瓜类蔬菜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阿维菌素、哒螨灵、敌敌畏、毒死蜱、腐霉利、甲氨基阿维菌素苯甲酸盐、甲拌磷、克百威、乐果、噻虫嗪、氧乐果、乙螨唑、乙酰甲胺磷、异丙威</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豆类蔬菜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豇豆</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阿维菌素、倍硫磷、啶虫脒、氟虫腈、甲胺磷、乐果、三唑磷、乙酰甲胺磷、甲氨基阿维菌素苯甲酸盐、克百威、氯氟氰菊酯和高效氯氟氰菊酯、氯氰菊酯和高效氯氰菊酯、灭蝇胺、噻虫胺、水胺硫磷、氧乐果、毒死蜱</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菜豆</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吡虫啉、倍硫磷、毒死蜱、多菌灵、甲氨基阿维菌素苯甲酸盐、甲胺磷、克百威、氯氟氰菊酯和高效氯氟氰菊酯、灭蝇胺、噻虫胺、三唑磷、水胺硫磷、氧乐果、乙酰甲胺磷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食英豌豆</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苯醚甲环唑、吡唑醚菌酯、毒死蜱、多菌灵、甲氨基阿维菌素苯甲酸盐、甲胺磷、噻虫胺、噻虫嗪、烯酰吗啉、氧乐果</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根茎类和薯芋类蔬菜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马铃薯</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铅(以Pb计)、镉(以Cd计)、毒死蜱、甲拌磷、氯氟氰菊酯和高效氯氟氰菊酯、氯氰菊酯和高效氯氰菊酯、噻虫嗪、乙酰甲胺磷、二氧化硫残留量</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山药</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铅(以Pb计)、毒死蜱、氯氟氰菊酯和高效氯氟氰菊酯、咪鲜胺和咪鲜胺锰盐、涕灭威</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胡萝卜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铅(以Pb计)、毒死蜱、甲拌磷、氯氰菊酯和高效氯氰菊酯、氯氟氰菊酯和高效氯氟氰菊酯、噻虫胺、氟虫腈</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萝卜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铅(以Pb计)、甲胺磷、氧乐果、毒死蜱、甲拌磷、氯氟氰菊酯和高效氯氟氰菊酯、噻虫嗪</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吡虫啉、吡唑醚菌酯、敌敌畏、毒死蜱、甲拌磷、克百威、六六六、氯氟氰菊酯和高效氯氟氰菊酯、氯氰菊酯和高效氯氰菊酯、氯唑磷、咪鲜胺和咪鲜胺锰盐、噻虫胺、噻虫嗪、二氧化硫残留量</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水产品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水产品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淡水产品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淡水鱼</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挥发性盐基氮、组胺、孔雀石绿、恩诺沙星、沙拉沙星、磺胺类(总量)、甲氧苄啶、甲硝唑、地西泮、氧氟沙星</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9.0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淡水虾</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挥发性盐基氮、镉(以Cd计)、二氧化硫残留量、孔雀石绿、氯霉素、呋喃唑酮代谢物、恩诺沙星、土霉素/金霉素/四环素(组合含量)、磺胺类(总量)、</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淡水蟹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镉(以Cd计)、五氯酚酸钠(以五氯酚计)、呋喃唑酮代谢物</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贝类</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贝类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镉(以Cd计)、孔雀石绿、氯霉素、五氯酚酸钠(以五氯酚计)、恩诺沙星、氟苯尼考、磺胺类(总量)</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其他水产品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其他水产品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镉(以Cd计)、孔雀石绿、呋喃唑酮代谢物、五氯酚酸钠(以五氯酚计)、恩诺沙星、磺胺类(总量)、氧氟沙星、诺氟沙星、氟苯尼考</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水果类</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水果类</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仁果类水果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苹果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敌敌畏、甲拌磷、克百威、氧乐果、三氯杀螨醇</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梨</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吡虫啉、敌敌畏、毒死蜱、多菌灵、克百威、氯氟氰菊酯和高效氯氟氰菊酯、氧乐果、水胺硫磷、咪鲜胺和咪鲜胺锰盐、噻虫嗪、乙螨唑、阿维菌素</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核果类水果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枣</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多菌灵、氟虫腈、氧乐果、糖精钠(以糖精计)、氯吡脲</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桃</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苯醚甲环唑、敌敌畏、多菌灵、克百威、氧乐果、溴氰菊酯、吡虫啉、氯氟氰菊酯和高效氯氟氰菊酯、噻虫胺、甲氨基阿维菌素苯甲酸盐</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油桃</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甲胺磷、克百威、氧乐果、敌敌畏、苯醚甲环唑、噻虫胺</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柑橘类水果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柑、橘</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苯醚甲环唑、丙溴磷、克百威、联苯菊酯、水胺硫磷、氧乐果、氯氟氰菊酯和高效氯氟氰菊酯、甲拌磷、2,4-滴和2,4-滴钠盐、狄氏剂、杀扑磷、敌敌畏、联苯肼酯</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9.0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橙</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丙溴磷、三唑磷、克百威、氧乐果、2,4-滴和2,4-滴钠盐、氯唑磷、杀扑磷、水胺硫磷、吡虫啉、联苯菊酯、苯醚甲环唑、敌敌畏、氯氟氰菊酯和高效氯氟氰菊酯、乙酰甲胺磷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柚</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水胺硫磷、联苯菊酯、氯氟氰菊酯和高效氯氟氰菊酯、多菌灵、克百威、毒死蜱、噻虫胺</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浆果和其他小型水果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葡萄</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苯醚甲环唑、己唑醇、氯氰菊酯和高效氯氰菊酯、霜霉威和霜霉威盐酸盐、氧乐果、氯氟氰菊酯和高效氯氟氰菊酯、氟虫腈、氯吡脲、联苯菊酯、氟唑菌酰胺、戊唑醇、腈苯唑</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草莓</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阿维菌素、多菌灵、克百威、烯酰吗啉、氧乐果、戊菌唑、吡虫啉、乙酰甲胺磷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猕猴桃</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敌敌畏、多菌灵、氯吡脲、氧乐果</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桑葚</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多菌灵、氯氟氰菊酯和高氯氟氰菊酯、苯甲酸及其钠盐(以苯甲酸计),山梨酸及其钾盐(以山梨酸计)、糖精钠(以糖精计)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热带和亚热带水果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香蕉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吡虫啉、烯唑醇、百菌清、甲拌磷、噻唑膦、噻虫胺、腈苯唑、苯醚甲环唑、噻虫嗪、氟虫腈、吡唑醚菌酯、多菌灵、氟唑菌酰胺、联苯菊酯</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芒果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苯醚甲环唑、乙酰甲胺磷、噻嗪酮、氧乐果、多菌灵、戊唑醇、噻虫胺、吡唑醚菌酯、吡虫啉、噻虫嗪</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火龙果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甲胺磷、克百威、氧乐果、乙酰甲胺磷、噻虫嗪、咪鲜胺和咪鲜胺锰盐</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荔枝</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多菌灵、氧乐果、毒死蜱、苯醚甲环唑、氯氰菊酯和高效氯氰菊酯、氯氟氰菊酯和高效氯氟氰菊酯、吡唑醚菌酯、除虫脲、氰霜唑、氟吗啉、咪鲜胺和咪鲜胺锰盐、乐果、溴氰菊酯</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杨梅</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脱氢乙酸及其钠盐(以脱氢乙酸计)、苯甲酸及其钠盐(以苯甲酸计)、山梨酸及其钾盐(以山梨酸计)、糖精钠(以糖精计)、甜蜜素(以环己基氨基磺酸计)、敌敌畏、氧乐果、啶虫脒</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龙眼</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二氧化硫残留量、克百威、氯氰菊酯和高效氯氰菊酯、氧乐果、氟虫腈</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柿子</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甲胺磷、敌敌畏、氯菊酯、苯醚甲环唑</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瓜果类水果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西瓜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克百威、噻虫嗪、氧乐果、乙酰甲胺磷、苯醚甲环唑、氯氟氰菊酯和高效氯氟氰菊酯</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甜瓜类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克百威、烯酰吗啉、氧乐果、乙酰甲胺磷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鲜蛋</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鲜蛋</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鸡蛋</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鸡蛋</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甲硝唑、地美硝唑、氟虫腈、氯霉素、氟苯尼考、甲砜霉素、恩诺沙星、氧氟沙星、沙拉沙星、甲氧苄啶、磺胺类(总量)、多西环素、地克珠利、托曲珠利</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9.0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其他禽蛋</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其他禽蛋</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呋喃唑酮代谢物、磺胺类(总量)、多西环素、氯霉素</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豆类</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豆类</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豆类</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铅(以Pb计)、铬(以Cr计)、吡虫啉、环丙唑醇、噻虫胺、噻虫嗪</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生干坚果与籽类食品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生干坚果与籽类食品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生干坚果与籽类食品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生干坚果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酸价(以脂肪计)(KOH)、过氧化值(以脂肪计)、二氧化硫残留量、吡虫啉</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花生</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花生</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酸价(以脂肪计)(KOH)、过氧化值(以脂肪计)、铅(以Pb计)、镉(以Cd计)、黄曲霉毒素B₁、噻虫嗪、噻虫胺</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其他籽类</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其他籽类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酸价(以脂肪计)(KOH)、过氧化值(以脂肪计)、铅(以Pb计)、噻虫嗪、噻虫胺</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736"/>
                  <w:gridSpan w:val="6"/>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合计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 xml:space="preserve">265.0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 xml:space="preserve">240.0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 xml:space="preserve">480.0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 xml:space="preserve">100.0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 xml:space="preserve">230.0 </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能提供高效抽检服务，能接受抽样工作委托，有专门团队负责配合采样</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有能满足采样、运输、检验等工作的车辆、设备等硬件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1、服务期限：90日历天 2、抽样场所：大荔县县域内除食品生产企业外所有食品农副产品经营主体店（随机抽取） 3、服务标准：依据《食品安全监督抽检实施细则(2024年版)》及任务计划在合同期内保质保量完成抽检工作 4、有能满足采样、运输、检验等工作的车辆、设备等硬件； 5、能提供高效抽检服务，能接受抽样工作委托，有专门团队负责配合采样； 6、抽检样品必须在当天进入食品检测实验室，以确保样品检测报告的准确 性、报告复检维持率高； 7、能够熟练运用各级抽检系统，及时准确地录入抽检、检验信息，辅助我 局完成统计报表、信息公示等工作； 8、有能满足采样、运输、检验等工作的车辆、设备等硬件； 9、不得将检验任务外包或分包给其他检测机构检验； 10、若投标人出具虚假、错误检验数据和结论，一经发现，立即取消合作资格； 11、须提供相关的业务咨询、报告分析等服务； 12、有完善的投诉受理机制，能够对委托检验人提出的异议做出有效回应； 13、投标人中标后，承担对应包项的检测任务，应逐月完成当月任务，并当月汇总本月的抽检清单； 14、乙方要提高抽样靶向性，严格按照国家相关标准进行检测，并实施必要的质量控制措施，提高问题食品发现率。因承检机构严重影响我局阶段性考核任务的，乙方要立即整改。若经过整改后还无法满足要求，甲方可根据情况采取扣减部分抽检费用或追加相应批次的任务； 15、乙方对复检备份样品要按时限进行保管，且建立台账，到期后需按国家相关规定进行处理，并于每月的 20 日前将复检备份样品的处理情况报送给甲方； 16、对于抽检出来的不合格样品，经复检后推翻其初检结论时，根据情节程度，甲方可约谈乙方主要负责人，限期改正，同时扣减部分抽检费用或追加相应批次的任务； 17、日常检查项目见后附表格，未涉及的抽检品种、检验项目，甲方可根据实际情况予以增补调整。</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大荔县县域内除食品生产企业外所有食品农副产品经营主体店（随机抽取）</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大荔县市场监督管理局食品检验检测项目完成后，甲方根据乙方提供的检测报告、检测清单及上传到国家市场监管总局食品检验检测平台上的各类检测项目内容及检测数据进行评判，从而确认检测项目的完成情况。同时乙方要保证检测数据的真实、有效、合理。 2、大荔县市场监督管理局食品检验检测项目验收合格后，乙方应与甲方办理相关的项目验收交接手续，填写项目交接验收单，验收各方签字后送合同各方。 3、验收依据：（1）合同约定的食品检验检测内容（2）符合食品检测相应的标准、规范（3）招标文件、投标文件、响应承诺、上传市场监管总局食品安全抽检平台数据信息或平台数据截图。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预付款，合同签订后预付合同金额40%预付款，项目完成后支付剩余款项。，达到付款条件起7个工作日内，支付合同总金额的40.0%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进度款，合同签订后预付合同金额40%预付款，项目完成后支付剩余款项。，达到付款条件起7个工作日内，支付合同总金额的60.0%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1.本项目按包号顺序进行评审，采用兼投不兼中原则，供应商可对本项目多个包进行投标，但最多只允许中标1个包，其余包顺延确定中标人。 2.成交供应商在领取中标通知书前，须向采购代理机构提供纸质版响应文件3份（1正2副），U盘2份(包括响应文件的全部内容)且提供的响应文件必须与在陕西省政府采购综合管理平台的项目电子化交易系统中提交的电子响应文件内容一致，纸质版响应文件必须装订成册签宇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2、财务状况报告：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4、社会保障资金缴纳证明：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5、法定代表人授权委托书：法定代表人授权书（附法定代表人、被授权人身份证复印件）及被授权人身份证（法定代表人直接参加磋商，须提供法定代表人身份证明及身份证原件），非法人单位参照执行。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6、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7、资质证书：供应商须提供检验检测机构资质认定证书CMA（包含证书完整附表)。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本项目专门面向中小企业</w:t>
            </w:r>
          </w:p>
        </w:tc>
        <w:tc>
          <w:tcPr>
            <w:tcW w:type="dxa" w:w="3322"/>
          </w:tcPr>
          <w:p>
            <w:pPr>
              <w:pStyle w:val="null3"/>
            </w:pPr>
            <w:r>
              <w:rPr>
                <w:rFonts w:ascii="仿宋_GB2312" w:hAnsi="仿宋_GB2312" w:cs="仿宋_GB2312" w:eastAsia="仿宋_GB2312"/>
              </w:rPr>
              <w:t>8、本项目专门面向中小企业：需提供中小企业声明函</w:t>
            </w:r>
          </w:p>
        </w:tc>
        <w:tc>
          <w:tcPr>
            <w:tcW w:type="dxa" w:w="1661"/>
          </w:tcPr>
          <w:p>
            <w:pPr>
              <w:pStyle w:val="null3"/>
            </w:pPr>
            <w:r>
              <w:rPr>
                <w:rFonts w:ascii="仿宋_GB2312" w:hAnsi="仿宋_GB2312" w:cs="仿宋_GB2312" w:eastAsia="仿宋_GB2312"/>
              </w:rPr>
              <w:t>中小企业声明函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9、非联合体声明：本项目不接受联合体磋商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与营业执照、公章等一致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按照竞争性磋商文件要求签字盖章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商务响应符合磋商文件要求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检验覆盖率</w:t>
            </w:r>
          </w:p>
        </w:tc>
        <w:tc>
          <w:tcPr>
            <w:tcW w:type="dxa" w:w="2492"/>
          </w:tcPr>
          <w:p>
            <w:pPr>
              <w:pStyle w:val="null3"/>
            </w:pPr>
            <w:r>
              <w:rPr>
                <w:rFonts w:ascii="仿宋_GB2312" w:hAnsi="仿宋_GB2312" w:cs="仿宋_GB2312" w:eastAsia="仿宋_GB2312"/>
              </w:rPr>
              <w:t>供应商认证的检验项目涵盖本次所有抽检参数。按其响应程度,覆盖率100%的计10分，95%-99%的计[5-9]分，91%-94%的计[1-4]分，90%以下不计分。（以CMA资质证书认定附表为准）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根据本项自采购服务内容及要求编制检测服务方案，包括①服务可行性②响应时间③工作方法④预防性管理方法⑤报告送达时间等方面，进行综合评审。 内容完整、编制合理得满分，缺1项扣3分，1项不完整扣1.5分，最低为0分。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检测设备</w:t>
            </w:r>
          </w:p>
        </w:tc>
        <w:tc>
          <w:tcPr>
            <w:tcW w:type="dxa" w:w="2492"/>
          </w:tcPr>
          <w:p>
            <w:pPr>
              <w:pStyle w:val="null3"/>
            </w:pPr>
            <w:r>
              <w:rPr>
                <w:rFonts w:ascii="仿宋_GB2312" w:hAnsi="仿宋_GB2312" w:cs="仿宋_GB2312" w:eastAsia="仿宋_GB2312"/>
              </w:rPr>
              <w:t>供应商检测仪器的技术指标、配置、功能、质量标准、检测标准符合或高于国家标准，具有本次检验要求的检测仪器，至少包括①高效液相色谱仪、②气相色谱仪、③气相色谱质普联用仪、④液相色谱质普联用仪、⑤紫外分光光度计、⑥原子吸收分光光度计、⑦原子荧光光度计、⑧离子色谱仪，提供仪器设备照片、购买发票或鉴定/校准报告(复印件加盖供应商公章)，同一类型算一个，全部提供计8分，每少一个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质量保障措施（①完成时间、②安全、③环保、④准确率）： 内容完整、编制合理得满分，缺1项扣2分，1项不完整扣1分，最低为0分。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项目实施人员具备中级及以上技术职称，每提供1人计2分，计满10分。（需提供人员身份证、职称证以及在本单位所缴纳的社会保险凭证证明材料复印件）。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提供针对食品安全检测中突发事件的应急响应方案：进行综合评审 提供的应急响应方案①内容详尽完善、②针对性强、③可操作性好的得分； 合理得满分，缺1项扣2分，1项不完整扣1分，最低为0分。未提供不计分。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风险分析</w:t>
            </w:r>
          </w:p>
        </w:tc>
        <w:tc>
          <w:tcPr>
            <w:tcW w:type="dxa" w:w="2492"/>
          </w:tcPr>
          <w:p>
            <w:pPr>
              <w:pStyle w:val="null3"/>
            </w:pPr>
            <w:r>
              <w:rPr>
                <w:rFonts w:ascii="仿宋_GB2312" w:hAnsi="仿宋_GB2312" w:cs="仿宋_GB2312" w:eastAsia="仿宋_GB2312"/>
              </w:rPr>
              <w:t>供应商具有撰写风险分析报告经验，每提供1份近两年（2024年1月1日至今）内撰写的食品安全监督抽检风险分析报告得3分，最多得标准分值。 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采样计划安排</w:t>
            </w:r>
          </w:p>
        </w:tc>
        <w:tc>
          <w:tcPr>
            <w:tcW w:type="dxa" w:w="2492"/>
          </w:tcPr>
          <w:p>
            <w:pPr>
              <w:pStyle w:val="null3"/>
            </w:pPr>
            <w:r>
              <w:rPr>
                <w:rFonts w:ascii="仿宋_GB2312" w:hAnsi="仿宋_GB2312" w:cs="仿宋_GB2312" w:eastAsia="仿宋_GB2312"/>
              </w:rPr>
              <w:t>提供能够上门采集样品的①采样仪器配置、②样品存储运输③采样人员相关证明材料； 证明材料完整、合理得满分，缺1项扣2分，1项不完整扣1分，最低为0分。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抽检系统熟练度</w:t>
            </w:r>
          </w:p>
        </w:tc>
        <w:tc>
          <w:tcPr>
            <w:tcW w:type="dxa" w:w="2492"/>
          </w:tcPr>
          <w:p>
            <w:pPr>
              <w:pStyle w:val="null3"/>
            </w:pPr>
            <w:r>
              <w:rPr>
                <w:rFonts w:ascii="仿宋_GB2312" w:hAnsi="仿宋_GB2312" w:cs="仿宋_GB2312" w:eastAsia="仿宋_GB2312"/>
              </w:rPr>
              <w:t>能够熟练运用各级抽检系统，及时准确的录入抽检、检验信息，具有专门人员/部门且有录入经验，提供承诺书或其他证明材料。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供应商具有体系认证：质量管理体系认证（IS09001或GB/T19001）、职业健康安全管理体系认证（OHSAS18001或GB/T45001或IS045001）、环境管理体系认证（IS014001 或GB/T24001），有一项认证证书计1分，计满3分。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投诉受理</w:t>
            </w:r>
          </w:p>
        </w:tc>
        <w:tc>
          <w:tcPr>
            <w:tcW w:type="dxa" w:w="2492"/>
          </w:tcPr>
          <w:p>
            <w:pPr>
              <w:pStyle w:val="null3"/>
            </w:pPr>
            <w:r>
              <w:rPr>
                <w:rFonts w:ascii="仿宋_GB2312" w:hAnsi="仿宋_GB2312" w:cs="仿宋_GB2312" w:eastAsia="仿宋_GB2312"/>
              </w:rPr>
              <w:t>供应商具有完善的投诉受理机制，能够对被抽检人的异议做出及时有效的回应，根据其投诉受理机制①完善性、②效率性进行评审； 内容完整、编制合理得满分，缺1项扣2.5分，1项不完整扣1.5分，最低为0分。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供应商2023年1月1日至今类似项目业绩每份计1分，满分为5分。（以合同签订时间为准，文件中附加盖公章的合同复印件）。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满足磋商文件要求且价格最低的磋商报价为磋商基准价，其价格分为满分。其他供应商的价格分统一按照下列公式计算：投标报价得分=（磋商基准价/最后磋商报价）×价格分值（%）×100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