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CA036">
      <w:pPr>
        <w:pStyle w:val="3"/>
        <w:jc w:val="center"/>
        <w:rPr>
          <w:rFonts w:ascii="仿宋" w:hAnsi="仿宋" w:eastAsia="仿宋" w:cs="仿宋"/>
          <w:sz w:val="36"/>
          <w:szCs w:val="36"/>
        </w:rPr>
      </w:pPr>
      <w:r>
        <w:rPr>
          <w:rFonts w:ascii="仿宋" w:hAnsi="仿宋" w:eastAsia="仿宋" w:cs="仿宋"/>
          <w:bCs/>
          <w:sz w:val="36"/>
          <w:szCs w:val="36"/>
        </w:rPr>
        <w:t>拟签订的合同文本</w:t>
      </w:r>
      <w:r>
        <w:rPr>
          <w:rFonts w:ascii="仿宋" w:hAnsi="仿宋" w:eastAsia="仿宋" w:cs="仿宋"/>
          <w:sz w:val="36"/>
          <w:szCs w:val="36"/>
        </w:rPr>
        <w:t xml:space="preserve"> </w:t>
      </w:r>
    </w:p>
    <w:p w14:paraId="6BB76517">
      <w:pPr>
        <w:pStyle w:val="35"/>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注：本合同作为合同的基本格式，采购人有权在签订合同时对合同的相关条款及内容作进一步的细化和修改，但不得改变</w:t>
      </w:r>
      <w:r>
        <w:rPr>
          <w:rFonts w:hint="eastAsia" w:ascii="仿宋" w:hAnsi="仿宋" w:eastAsia="仿宋" w:cs="仿宋"/>
          <w:sz w:val="28"/>
          <w:szCs w:val="28"/>
          <w:lang w:val="en-US" w:eastAsia="zh-CN"/>
        </w:rPr>
        <w:t>单一来源采购</w:t>
      </w:r>
      <w:r>
        <w:rPr>
          <w:rFonts w:hint="eastAsia" w:ascii="仿宋" w:hAnsi="仿宋" w:eastAsia="仿宋" w:cs="仿宋"/>
          <w:sz w:val="28"/>
          <w:szCs w:val="28"/>
        </w:rPr>
        <w:t>文件及响应文件、成交通知书规定的实质性内容）</w:t>
      </w:r>
    </w:p>
    <w:p w14:paraId="67184432">
      <w:pPr>
        <w:pStyle w:val="35"/>
        <w:spacing w:line="360" w:lineRule="auto"/>
        <w:ind w:firstLine="480"/>
        <w:rPr>
          <w:rFonts w:hint="eastAsia" w:ascii="仿宋" w:hAnsi="仿宋" w:eastAsia="仿宋" w:cs="仿宋"/>
          <w:sz w:val="28"/>
          <w:szCs w:val="28"/>
        </w:rPr>
      </w:pPr>
      <w:r>
        <w:rPr>
          <w:rFonts w:hint="eastAsia" w:ascii="仿宋" w:hAnsi="仿宋" w:eastAsia="仿宋" w:cs="仿宋"/>
          <w:sz w:val="28"/>
          <w:szCs w:val="28"/>
        </w:rPr>
        <w:t>采购人（以下称“甲方”）：</w:t>
      </w:r>
      <w:r>
        <w:rPr>
          <w:rFonts w:hint="eastAsia" w:ascii="仿宋" w:hAnsi="仿宋" w:eastAsia="仿宋" w:cs="仿宋"/>
          <w:sz w:val="28"/>
          <w:szCs w:val="28"/>
          <w:u w:val="single"/>
        </w:rPr>
        <w:t xml:space="preserve"> 陕西省戒毒管理局 </w:t>
      </w:r>
      <w:r>
        <w:rPr>
          <w:rFonts w:hint="eastAsia" w:ascii="仿宋" w:hAnsi="仿宋" w:eastAsia="仿宋" w:cs="仿宋"/>
          <w:sz w:val="28"/>
          <w:szCs w:val="28"/>
        </w:rPr>
        <w:t xml:space="preserve">                                         </w:t>
      </w:r>
    </w:p>
    <w:p w14:paraId="50BDCE1A">
      <w:pPr>
        <w:pStyle w:val="35"/>
        <w:spacing w:line="360" w:lineRule="auto"/>
        <w:ind w:firstLine="48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陕西省西安市莲湖区习武园15号</w:t>
      </w:r>
      <w:r>
        <w:rPr>
          <w:rFonts w:hint="eastAsia" w:ascii="仿宋" w:hAnsi="仿宋" w:eastAsia="仿宋" w:cs="仿宋"/>
          <w:sz w:val="28"/>
          <w:szCs w:val="28"/>
        </w:rPr>
        <w:t xml:space="preserve">                                                            </w:t>
      </w:r>
    </w:p>
    <w:p w14:paraId="11E8B5B8">
      <w:pPr>
        <w:pStyle w:val="35"/>
        <w:spacing w:line="360" w:lineRule="auto"/>
        <w:ind w:firstLine="480"/>
        <w:rPr>
          <w:rFonts w:hint="eastAsia" w:ascii="仿宋" w:hAnsi="仿宋" w:eastAsia="仿宋" w:cs="仿宋"/>
          <w:sz w:val="28"/>
          <w:szCs w:val="28"/>
        </w:rPr>
      </w:pPr>
      <w:r>
        <w:rPr>
          <w:rFonts w:hint="eastAsia" w:ascii="仿宋" w:hAnsi="仿宋" w:eastAsia="仿宋" w:cs="仿宋"/>
          <w:sz w:val="28"/>
          <w:szCs w:val="28"/>
        </w:rPr>
        <w:t>联系方式：</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39BDB5BA">
      <w:pPr>
        <w:pStyle w:val="35"/>
        <w:spacing w:line="360" w:lineRule="auto"/>
        <w:ind w:firstLine="480"/>
        <w:rPr>
          <w:rFonts w:hint="eastAsia" w:ascii="仿宋" w:hAnsi="仿宋" w:eastAsia="仿宋" w:cs="仿宋"/>
          <w:sz w:val="28"/>
          <w:szCs w:val="28"/>
        </w:rPr>
      </w:pPr>
      <w:r>
        <w:rPr>
          <w:rFonts w:hint="eastAsia" w:ascii="仿宋" w:hAnsi="仿宋" w:eastAsia="仿宋" w:cs="仿宋"/>
          <w:sz w:val="28"/>
          <w:szCs w:val="28"/>
        </w:rPr>
        <w:t>供应商（以下称“乙方”）：</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3B8075BC">
      <w:pPr>
        <w:pStyle w:val="35"/>
        <w:spacing w:line="360" w:lineRule="auto"/>
        <w:ind w:firstLine="48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F71DA98">
      <w:pPr>
        <w:pStyle w:val="35"/>
        <w:spacing w:line="360" w:lineRule="auto"/>
        <w:ind w:firstLine="480"/>
        <w:rPr>
          <w:rFonts w:hint="eastAsia" w:ascii="仿宋" w:hAnsi="仿宋" w:eastAsia="仿宋" w:cs="仿宋"/>
          <w:sz w:val="28"/>
          <w:szCs w:val="28"/>
        </w:rPr>
      </w:pPr>
      <w:r>
        <w:rPr>
          <w:rFonts w:hint="eastAsia" w:ascii="仿宋" w:hAnsi="仿宋" w:eastAsia="仿宋" w:cs="仿宋"/>
          <w:sz w:val="28"/>
          <w:szCs w:val="28"/>
        </w:rPr>
        <w:t>联系方式：</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118A0946">
      <w:pPr>
        <w:pStyle w:val="35"/>
        <w:spacing w:line="360" w:lineRule="auto"/>
        <w:ind w:firstLine="546" w:firstLineChars="195"/>
        <w:rPr>
          <w:rFonts w:hint="eastAsia" w:ascii="仿宋" w:hAnsi="仿宋" w:eastAsia="仿宋" w:cs="仿宋"/>
          <w:sz w:val="28"/>
          <w:szCs w:val="28"/>
        </w:rPr>
      </w:pPr>
      <w:r>
        <w:rPr>
          <w:rFonts w:hint="eastAsia" w:ascii="仿宋" w:hAnsi="仿宋" w:eastAsia="仿宋" w:cs="仿宋"/>
          <w:sz w:val="28"/>
          <w:szCs w:val="28"/>
        </w:rPr>
        <w:t>根据《中华人民共和国政府采购法》及实施条例 《中华人民共和国民法典》和甲方采购项目</w:t>
      </w:r>
      <w:r>
        <w:rPr>
          <w:rFonts w:hint="eastAsia" w:ascii="仿宋" w:hAnsi="仿宋" w:eastAsia="仿宋" w:cs="仿宋"/>
          <w:sz w:val="28"/>
          <w:szCs w:val="28"/>
          <w:u w:val="single"/>
        </w:rPr>
        <w:t>（采购项目编号：</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w:t>
      </w:r>
      <w:r>
        <w:rPr>
          <w:rFonts w:hint="eastAsia" w:ascii="仿宋" w:hAnsi="仿宋" w:eastAsia="仿宋" w:cs="仿宋"/>
          <w:sz w:val="28"/>
          <w:szCs w:val="28"/>
        </w:rPr>
        <w:t>的采购文件、乙方递交的响应文件等有关规定，为确保甲方采购项目的顺利实施，甲、乙双方在平等自愿原则下签订本合同，并共同遵守如下条款：</w:t>
      </w:r>
    </w:p>
    <w:p w14:paraId="3EA0B9EF">
      <w:pPr>
        <w:numPr>
          <w:ilvl w:val="0"/>
          <w:numId w:val="1"/>
        </w:numPr>
        <w:tabs>
          <w:tab w:val="left" w:pos="1379"/>
        </w:tabs>
        <w:spacing w:line="360" w:lineRule="auto"/>
        <w:ind w:firstLine="562" w:firstLineChars="200"/>
        <w:rPr>
          <w:rFonts w:hint="eastAsia" w:ascii="仿宋" w:hAnsi="仿宋" w:eastAsia="仿宋" w:cs="仿宋"/>
          <w:b/>
          <w:sz w:val="28"/>
          <w:szCs w:val="28"/>
        </w:rPr>
      </w:pPr>
      <w:bookmarkStart w:id="0" w:name="_Toc8233"/>
      <w:bookmarkStart w:id="1" w:name="_Toc27647"/>
      <w:bookmarkStart w:id="2" w:name="_Toc13441"/>
      <w:bookmarkStart w:id="3" w:name="_Toc18746"/>
      <w:bookmarkStart w:id="4" w:name="_Toc6440"/>
      <w:r>
        <w:rPr>
          <w:rFonts w:hint="eastAsia" w:ascii="仿宋" w:hAnsi="仿宋" w:eastAsia="仿宋" w:cs="仿宋"/>
          <w:b/>
          <w:sz w:val="28"/>
          <w:szCs w:val="28"/>
        </w:rPr>
        <w:t>合同采购内容</w:t>
      </w:r>
      <w:bookmarkEnd w:id="0"/>
      <w:bookmarkEnd w:id="1"/>
      <w:bookmarkEnd w:id="2"/>
      <w:bookmarkEnd w:id="3"/>
      <w:bookmarkEnd w:id="4"/>
    </w:p>
    <w:tbl>
      <w:tblPr>
        <w:tblStyle w:val="14"/>
        <w:tblW w:w="9346" w:type="dxa"/>
        <w:tblInd w:w="-154" w:type="dxa"/>
        <w:tblLayout w:type="fixed"/>
        <w:tblCellMar>
          <w:top w:w="0" w:type="dxa"/>
          <w:left w:w="0" w:type="dxa"/>
          <w:bottom w:w="0" w:type="dxa"/>
          <w:right w:w="0" w:type="dxa"/>
        </w:tblCellMar>
      </w:tblPr>
      <w:tblGrid>
        <w:gridCol w:w="887"/>
        <w:gridCol w:w="1153"/>
        <w:gridCol w:w="2087"/>
        <w:gridCol w:w="1298"/>
        <w:gridCol w:w="1092"/>
        <w:gridCol w:w="2829"/>
      </w:tblGrid>
      <w:tr w14:paraId="15ECCF50">
        <w:tblPrEx>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909180E">
            <w:pPr>
              <w:widowControl/>
              <w:wordWrap w:val="0"/>
              <w:jc w:val="center"/>
              <w:textAlignment w:val="center"/>
              <w:rPr>
                <w:rFonts w:hint="eastAsia" w:ascii="仿宋" w:hAnsi="仿宋" w:eastAsia="仿宋" w:cs="仿宋"/>
                <w:b/>
                <w:bCs/>
                <w:kern w:val="0"/>
                <w:sz w:val="28"/>
                <w:szCs w:val="28"/>
                <w:lang w:bidi="ar"/>
              </w:rPr>
            </w:pPr>
            <w:r>
              <w:rPr>
                <w:rFonts w:hint="eastAsia" w:ascii="仿宋" w:hAnsi="仿宋" w:eastAsia="仿宋" w:cs="仿宋"/>
                <w:b/>
                <w:bCs/>
                <w:kern w:val="0"/>
                <w:sz w:val="28"/>
                <w:szCs w:val="28"/>
                <w:lang w:bidi="ar"/>
              </w:rPr>
              <w:t>品目</w:t>
            </w:r>
          </w:p>
          <w:p w14:paraId="0947AA17">
            <w:pPr>
              <w:widowControl/>
              <w:wordWrap w:val="0"/>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编码</w:t>
            </w:r>
          </w:p>
        </w:tc>
        <w:tc>
          <w:tcPr>
            <w:tcW w:w="115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22B3BCA">
            <w:pPr>
              <w:widowControl/>
              <w:wordWrap w:val="0"/>
              <w:jc w:val="center"/>
              <w:textAlignment w:val="center"/>
              <w:rPr>
                <w:rFonts w:hint="eastAsia" w:ascii="仿宋" w:hAnsi="仿宋" w:eastAsia="仿宋" w:cs="仿宋"/>
                <w:b/>
                <w:bCs/>
                <w:kern w:val="0"/>
                <w:sz w:val="28"/>
                <w:szCs w:val="28"/>
                <w:lang w:bidi="ar"/>
              </w:rPr>
            </w:pPr>
            <w:r>
              <w:rPr>
                <w:rFonts w:hint="eastAsia" w:ascii="仿宋" w:hAnsi="仿宋" w:eastAsia="仿宋" w:cs="仿宋"/>
                <w:b/>
                <w:bCs/>
                <w:kern w:val="0"/>
                <w:sz w:val="28"/>
                <w:szCs w:val="28"/>
                <w:lang w:bidi="ar"/>
              </w:rPr>
              <w:t>品目</w:t>
            </w:r>
          </w:p>
          <w:p w14:paraId="73D8A225">
            <w:pPr>
              <w:widowControl/>
              <w:wordWrap w:val="0"/>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名称</w:t>
            </w:r>
          </w:p>
        </w:tc>
        <w:tc>
          <w:tcPr>
            <w:tcW w:w="20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A33B61D">
            <w:pPr>
              <w:widowControl/>
              <w:wordWrap w:val="0"/>
              <w:jc w:val="center"/>
              <w:textAlignment w:val="center"/>
              <w:rPr>
                <w:rFonts w:hint="eastAsia" w:ascii="仿宋" w:hAnsi="仿宋" w:eastAsia="仿宋" w:cs="仿宋"/>
                <w:b/>
                <w:bCs/>
                <w:kern w:val="0"/>
                <w:sz w:val="28"/>
                <w:szCs w:val="28"/>
                <w:lang w:bidi="ar"/>
              </w:rPr>
            </w:pPr>
            <w:r>
              <w:rPr>
                <w:rFonts w:hint="eastAsia" w:ascii="仿宋" w:hAnsi="仿宋" w:eastAsia="仿宋" w:cs="仿宋"/>
                <w:b/>
                <w:bCs/>
                <w:kern w:val="0"/>
                <w:sz w:val="28"/>
                <w:szCs w:val="28"/>
                <w:lang w:bidi="ar"/>
              </w:rPr>
              <w:t>采购</w:t>
            </w:r>
          </w:p>
          <w:p w14:paraId="1FDC877A">
            <w:pPr>
              <w:widowControl/>
              <w:wordWrap w:val="0"/>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标的</w:t>
            </w:r>
          </w:p>
        </w:tc>
        <w:tc>
          <w:tcPr>
            <w:tcW w:w="129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62AB57C">
            <w:pPr>
              <w:widowControl/>
              <w:wordWrap w:val="0"/>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采购数量</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DAE34AB">
            <w:pPr>
              <w:widowControl/>
              <w:wordWrap w:val="0"/>
              <w:jc w:val="center"/>
              <w:textAlignment w:val="center"/>
              <w:rPr>
                <w:rFonts w:hint="eastAsia" w:ascii="仿宋" w:hAnsi="仿宋" w:eastAsia="仿宋" w:cs="仿宋"/>
                <w:b/>
                <w:bCs/>
                <w:kern w:val="0"/>
                <w:sz w:val="28"/>
                <w:szCs w:val="28"/>
                <w:lang w:bidi="ar"/>
              </w:rPr>
            </w:pPr>
            <w:r>
              <w:rPr>
                <w:rFonts w:hint="eastAsia" w:ascii="仿宋" w:hAnsi="仿宋" w:eastAsia="仿宋" w:cs="仿宋"/>
                <w:b/>
                <w:bCs/>
                <w:kern w:val="0"/>
                <w:sz w:val="28"/>
                <w:szCs w:val="28"/>
                <w:lang w:bidi="ar"/>
              </w:rPr>
              <w:t>计量</w:t>
            </w:r>
          </w:p>
          <w:p w14:paraId="2697B460">
            <w:pPr>
              <w:widowControl/>
              <w:wordWrap w:val="0"/>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单位</w:t>
            </w:r>
          </w:p>
        </w:tc>
        <w:tc>
          <w:tcPr>
            <w:tcW w:w="2829"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807E866">
            <w:pPr>
              <w:widowControl/>
              <w:wordWrap w:val="0"/>
              <w:jc w:val="center"/>
              <w:textAlignment w:val="center"/>
              <w:rPr>
                <w:rFonts w:hint="eastAsia" w:ascii="仿宋" w:hAnsi="仿宋" w:eastAsia="仿宋" w:cs="仿宋"/>
                <w:b/>
                <w:bCs/>
                <w:sz w:val="28"/>
                <w:szCs w:val="28"/>
              </w:rPr>
            </w:pPr>
            <w:r>
              <w:rPr>
                <w:rFonts w:hint="eastAsia" w:ascii="仿宋" w:hAnsi="仿宋" w:eastAsia="仿宋" w:cs="仿宋"/>
                <w:b/>
                <w:bCs/>
                <w:kern w:val="0"/>
                <w:sz w:val="28"/>
                <w:szCs w:val="28"/>
                <w:lang w:bidi="ar"/>
              </w:rPr>
              <w:t>服务范围</w:t>
            </w:r>
          </w:p>
        </w:tc>
      </w:tr>
      <w:tr w14:paraId="1FE4959B">
        <w:tblPrEx>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48D9DD7">
            <w:pPr>
              <w:keepNext w:val="0"/>
              <w:keepLines w:val="0"/>
              <w:pageBreakBefore w:val="0"/>
              <w:widowControl/>
              <w:kinsoku/>
              <w:wordWrap w:val="0"/>
              <w:overflowPunct/>
              <w:topLinePunct w:val="0"/>
              <w:autoSpaceDE/>
              <w:autoSpaceDN/>
              <w:bidi w:val="0"/>
              <w:adjustRightInd w:val="0"/>
              <w:snapToGrid w:val="0"/>
              <w:spacing w:line="240" w:lineRule="auto"/>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1-1</w:t>
            </w:r>
          </w:p>
        </w:tc>
        <w:tc>
          <w:tcPr>
            <w:tcW w:w="115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A920546">
            <w:pPr>
              <w:keepNext w:val="0"/>
              <w:keepLines w:val="0"/>
              <w:pageBreakBefore w:val="0"/>
              <w:widowControl/>
              <w:kinsoku/>
              <w:wordWrap w:val="0"/>
              <w:overflowPunct/>
              <w:topLinePunct w:val="0"/>
              <w:autoSpaceDE/>
              <w:autoSpaceDN/>
              <w:bidi w:val="0"/>
              <w:adjustRightInd w:val="0"/>
              <w:snapToGrid w:val="0"/>
              <w:spacing w:line="240" w:lineRule="auto"/>
              <w:jc w:val="center"/>
              <w:textAlignment w:val="center"/>
              <w:rPr>
                <w:rFonts w:hint="eastAsia" w:ascii="仿宋" w:hAnsi="仿宋" w:eastAsia="仿宋" w:cs="仿宋"/>
                <w:sz w:val="28"/>
                <w:szCs w:val="28"/>
              </w:rPr>
            </w:pPr>
          </w:p>
        </w:tc>
        <w:tc>
          <w:tcPr>
            <w:tcW w:w="20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976B4EE">
            <w:pPr>
              <w:keepNext w:val="0"/>
              <w:keepLines w:val="0"/>
              <w:pageBreakBefore w:val="0"/>
              <w:widowControl/>
              <w:kinsoku/>
              <w:wordWrap w:val="0"/>
              <w:overflowPunct/>
              <w:topLinePunct w:val="0"/>
              <w:autoSpaceDE/>
              <w:autoSpaceDN/>
              <w:bidi w:val="0"/>
              <w:adjustRightInd w:val="0"/>
              <w:snapToGrid w:val="0"/>
              <w:spacing w:line="240" w:lineRule="auto"/>
              <w:jc w:val="center"/>
              <w:textAlignment w:val="center"/>
              <w:rPr>
                <w:rFonts w:hint="eastAsia" w:ascii="仿宋" w:hAnsi="仿宋" w:eastAsia="仿宋" w:cs="仿宋"/>
                <w:sz w:val="28"/>
                <w:szCs w:val="28"/>
              </w:rPr>
            </w:pPr>
          </w:p>
        </w:tc>
        <w:tc>
          <w:tcPr>
            <w:tcW w:w="129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49E2D49">
            <w:pPr>
              <w:keepNext w:val="0"/>
              <w:keepLines w:val="0"/>
              <w:pageBreakBefore w:val="0"/>
              <w:widowControl/>
              <w:kinsoku/>
              <w:wordWrap w:val="0"/>
              <w:overflowPunct/>
              <w:topLinePunct w:val="0"/>
              <w:autoSpaceDE/>
              <w:autoSpaceDN/>
              <w:bidi w:val="0"/>
              <w:adjustRightInd w:val="0"/>
              <w:snapToGrid w:val="0"/>
              <w:spacing w:line="240" w:lineRule="auto"/>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1</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57A0D87">
            <w:pPr>
              <w:keepNext w:val="0"/>
              <w:keepLines w:val="0"/>
              <w:pageBreakBefore w:val="0"/>
              <w:widowControl/>
              <w:kinsoku/>
              <w:wordWrap w:val="0"/>
              <w:overflowPunct/>
              <w:topLinePunct w:val="0"/>
              <w:autoSpaceDE/>
              <w:autoSpaceDN/>
              <w:bidi w:val="0"/>
              <w:adjustRightInd w:val="0"/>
              <w:snapToGrid w:val="0"/>
              <w:spacing w:line="240" w:lineRule="auto"/>
              <w:jc w:val="center"/>
              <w:textAlignment w:val="center"/>
              <w:rPr>
                <w:rFonts w:hint="eastAsia" w:ascii="仿宋" w:hAnsi="仿宋" w:eastAsia="仿宋" w:cs="仿宋"/>
                <w:sz w:val="28"/>
                <w:szCs w:val="28"/>
              </w:rPr>
            </w:pPr>
            <w:r>
              <w:rPr>
                <w:rFonts w:hint="eastAsia" w:ascii="仿宋" w:hAnsi="仿宋" w:eastAsia="仿宋" w:cs="仿宋"/>
                <w:kern w:val="0"/>
                <w:sz w:val="28"/>
                <w:szCs w:val="28"/>
                <w:lang w:bidi="ar"/>
              </w:rPr>
              <w:t>项</w:t>
            </w:r>
          </w:p>
        </w:tc>
        <w:tc>
          <w:tcPr>
            <w:tcW w:w="2829"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D1EC764">
            <w:pPr>
              <w:keepNext w:val="0"/>
              <w:keepLines w:val="0"/>
              <w:pageBreakBefore w:val="0"/>
              <w:widowControl/>
              <w:kinsoku/>
              <w:wordWrap w:val="0"/>
              <w:overflowPunct/>
              <w:topLinePunct w:val="0"/>
              <w:autoSpaceDE/>
              <w:autoSpaceDN/>
              <w:bidi w:val="0"/>
              <w:adjustRightInd w:val="0"/>
              <w:snapToGrid w:val="0"/>
              <w:spacing w:line="240" w:lineRule="auto"/>
              <w:jc w:val="center"/>
              <w:textAlignment w:val="center"/>
              <w:rPr>
                <w:rFonts w:hint="eastAsia" w:ascii="仿宋" w:hAnsi="仿宋" w:eastAsia="仿宋" w:cs="仿宋"/>
                <w:sz w:val="28"/>
                <w:szCs w:val="28"/>
              </w:rPr>
            </w:pPr>
            <w:r>
              <w:rPr>
                <w:rFonts w:hint="eastAsia" w:ascii="仿宋" w:hAnsi="仿宋" w:eastAsia="仿宋" w:cs="仿宋"/>
                <w:sz w:val="28"/>
                <w:szCs w:val="28"/>
                <w:lang w:val="en-US" w:eastAsia="zh-CN"/>
              </w:rPr>
              <w:t>采购文件</w:t>
            </w:r>
            <w:r>
              <w:rPr>
                <w:rFonts w:hint="eastAsia" w:ascii="仿宋" w:hAnsi="仿宋" w:eastAsia="仿宋" w:cs="仿宋"/>
                <w:sz w:val="28"/>
                <w:szCs w:val="28"/>
              </w:rPr>
              <w:t>规定的服务内容及要求</w:t>
            </w:r>
          </w:p>
        </w:tc>
      </w:tr>
    </w:tbl>
    <w:p w14:paraId="22495F2B">
      <w:pPr>
        <w:pStyle w:val="36"/>
        <w:spacing w:line="360" w:lineRule="auto"/>
        <w:ind w:firstLine="560"/>
        <w:rPr>
          <w:rFonts w:hint="eastAsia"/>
          <w:sz w:val="28"/>
          <w:szCs w:val="28"/>
          <w:lang w:val="en-US"/>
        </w:rPr>
      </w:pPr>
    </w:p>
    <w:p w14:paraId="7D140C29">
      <w:pPr>
        <w:pStyle w:val="36"/>
        <w:spacing w:line="360" w:lineRule="auto"/>
        <w:ind w:firstLine="560"/>
        <w:rPr>
          <w:rFonts w:hint="eastAsia"/>
          <w:color w:val="0000FF"/>
          <w:sz w:val="28"/>
          <w:szCs w:val="28"/>
          <w:lang w:val="en-US"/>
        </w:rPr>
      </w:pPr>
      <w:r>
        <w:rPr>
          <w:rFonts w:hint="eastAsia"/>
          <w:sz w:val="28"/>
          <w:szCs w:val="28"/>
          <w:lang w:val="en-US"/>
        </w:rPr>
        <w:t>合计金额人民币（大写）：</w:t>
      </w:r>
      <w:r>
        <w:rPr>
          <w:rFonts w:hint="eastAsia"/>
          <w:sz w:val="28"/>
          <w:szCs w:val="28"/>
          <w:u w:val="single"/>
          <w:lang w:val="en-US"/>
        </w:rPr>
        <w:t xml:space="preserve">               </w:t>
      </w:r>
      <w:r>
        <w:rPr>
          <w:rFonts w:hint="eastAsia"/>
          <w:sz w:val="28"/>
          <w:szCs w:val="28"/>
          <w:lang w:val="en-US"/>
        </w:rPr>
        <w:t xml:space="preserve"> </w:t>
      </w:r>
    </w:p>
    <w:p w14:paraId="6195D107">
      <w:pPr>
        <w:tabs>
          <w:tab w:val="left" w:pos="1379"/>
        </w:tabs>
        <w:spacing w:line="360" w:lineRule="auto"/>
        <w:ind w:firstLine="562" w:firstLineChars="200"/>
        <w:rPr>
          <w:rFonts w:hint="eastAsia" w:ascii="仿宋" w:hAnsi="仿宋" w:eastAsia="仿宋" w:cs="仿宋"/>
          <w:b/>
          <w:sz w:val="28"/>
          <w:szCs w:val="28"/>
        </w:rPr>
      </w:pPr>
      <w:bookmarkStart w:id="5" w:name="_Toc4621"/>
      <w:bookmarkStart w:id="6" w:name="_Toc25072"/>
      <w:bookmarkStart w:id="7" w:name="_Toc11027"/>
      <w:bookmarkStart w:id="8" w:name="_Toc24758"/>
      <w:bookmarkStart w:id="9" w:name="_Toc22213"/>
      <w:r>
        <w:rPr>
          <w:rFonts w:hint="eastAsia" w:ascii="仿宋" w:hAnsi="仿宋" w:eastAsia="仿宋" w:cs="仿宋"/>
          <w:b/>
          <w:sz w:val="28"/>
          <w:szCs w:val="28"/>
        </w:rPr>
        <w:t>第二条 合同价款</w:t>
      </w:r>
      <w:bookmarkEnd w:id="5"/>
      <w:bookmarkEnd w:id="6"/>
      <w:bookmarkEnd w:id="7"/>
      <w:bookmarkEnd w:id="8"/>
      <w:bookmarkEnd w:id="9"/>
    </w:p>
    <w:p w14:paraId="00052DE2">
      <w:pPr>
        <w:pStyle w:val="35"/>
        <w:spacing w:line="360" w:lineRule="auto"/>
        <w:ind w:firstLine="480"/>
        <w:rPr>
          <w:rFonts w:hint="eastAsia" w:ascii="仿宋" w:hAnsi="仿宋" w:eastAsia="仿宋" w:cs="仿宋"/>
          <w:sz w:val="28"/>
          <w:szCs w:val="28"/>
        </w:rPr>
      </w:pPr>
      <w:r>
        <w:rPr>
          <w:rFonts w:hint="eastAsia" w:ascii="仿宋" w:hAnsi="仿宋" w:eastAsia="仿宋" w:cs="仿宋"/>
          <w:sz w:val="28"/>
          <w:szCs w:val="28"/>
        </w:rPr>
        <w:t>1.合同总价款为人民币</w:t>
      </w:r>
      <w:r>
        <w:rPr>
          <w:rFonts w:hint="eastAsia" w:ascii="仿宋" w:hAnsi="仿宋" w:eastAsia="仿宋" w:cs="仿宋"/>
          <w:sz w:val="28"/>
          <w:szCs w:val="28"/>
          <w:u w:val="single"/>
        </w:rPr>
        <w:t xml:space="preserve">（大写）：               ，￥              </w:t>
      </w:r>
    </w:p>
    <w:p w14:paraId="1790634F">
      <w:pPr>
        <w:pStyle w:val="35"/>
        <w:spacing w:line="360" w:lineRule="auto"/>
        <w:ind w:firstLine="480"/>
        <w:rPr>
          <w:rFonts w:hint="eastAsia" w:ascii="仿宋" w:hAnsi="仿宋" w:eastAsia="仿宋" w:cs="仿宋"/>
          <w:sz w:val="28"/>
          <w:szCs w:val="28"/>
          <w:u w:val="single"/>
        </w:rPr>
      </w:pPr>
      <w:r>
        <w:rPr>
          <w:rFonts w:hint="eastAsia" w:ascii="仿宋" w:hAnsi="仿宋" w:eastAsia="仿宋" w:cs="仿宋"/>
          <w:sz w:val="28"/>
          <w:szCs w:val="28"/>
        </w:rPr>
        <w:t>2.本项目合同总价款由以下组成：</w:t>
      </w:r>
      <w:r>
        <w:rPr>
          <w:rFonts w:hint="eastAsia" w:ascii="仿宋" w:hAnsi="仿宋" w:eastAsia="仿宋" w:cs="仿宋"/>
          <w:sz w:val="28"/>
          <w:szCs w:val="28"/>
          <w:u w:val="single"/>
        </w:rPr>
        <w:t xml:space="preserve">                    </w:t>
      </w:r>
    </w:p>
    <w:p w14:paraId="2B5EB782">
      <w:pPr>
        <w:pStyle w:val="35"/>
        <w:spacing w:line="360" w:lineRule="auto"/>
        <w:ind w:firstLine="480"/>
        <w:rPr>
          <w:rFonts w:hint="eastAsia" w:ascii="仿宋" w:hAnsi="仿宋" w:eastAsia="仿宋" w:cs="仿宋"/>
          <w:sz w:val="28"/>
          <w:szCs w:val="28"/>
        </w:rPr>
      </w:pPr>
      <w:r>
        <w:rPr>
          <w:rFonts w:hint="eastAsia" w:ascii="仿宋" w:hAnsi="仿宋" w:eastAsia="仿宋" w:cs="仿宋"/>
          <w:sz w:val="28"/>
          <w:szCs w:val="28"/>
        </w:rPr>
        <w:t>3.甲方无须另向乙方支付本合同规定之外的其他任何费用</w:t>
      </w:r>
    </w:p>
    <w:p w14:paraId="569CA5A7">
      <w:pPr>
        <w:tabs>
          <w:tab w:val="left" w:pos="1379"/>
        </w:tabs>
        <w:snapToGrid w:val="0"/>
        <w:spacing w:line="360" w:lineRule="auto"/>
        <w:ind w:firstLine="562" w:firstLineChars="200"/>
        <w:rPr>
          <w:rFonts w:hint="eastAsia" w:ascii="仿宋" w:hAnsi="仿宋" w:eastAsia="仿宋" w:cs="仿宋"/>
          <w:b/>
          <w:sz w:val="28"/>
          <w:szCs w:val="28"/>
        </w:rPr>
      </w:pPr>
      <w:bookmarkStart w:id="10" w:name="_Toc5704"/>
      <w:bookmarkStart w:id="11" w:name="_Toc23966"/>
      <w:bookmarkStart w:id="12" w:name="_Toc10189"/>
      <w:bookmarkStart w:id="13" w:name="_Toc4425"/>
      <w:bookmarkStart w:id="14" w:name="_Toc26962"/>
      <w:r>
        <w:rPr>
          <w:rFonts w:hint="eastAsia" w:ascii="仿宋" w:hAnsi="仿宋" w:eastAsia="仿宋" w:cs="仿宋"/>
          <w:b/>
          <w:sz w:val="28"/>
          <w:szCs w:val="28"/>
        </w:rPr>
        <w:t>第三条  付款方式、时间及条件</w:t>
      </w:r>
      <w:bookmarkEnd w:id="10"/>
      <w:bookmarkEnd w:id="11"/>
      <w:bookmarkEnd w:id="12"/>
      <w:bookmarkEnd w:id="13"/>
      <w:bookmarkEnd w:id="14"/>
    </w:p>
    <w:p w14:paraId="75A0D7C3">
      <w:pPr>
        <w:tabs>
          <w:tab w:val="left" w:pos="7665"/>
        </w:tabs>
        <w:spacing w:line="360" w:lineRule="auto"/>
        <w:ind w:firstLine="560" w:firstLineChars="200"/>
        <w:rPr>
          <w:rStyle w:val="17"/>
          <w:rFonts w:hint="eastAsia" w:ascii="仿宋" w:hAnsi="仿宋" w:eastAsia="仿宋" w:cs="仿宋"/>
          <w:b w:val="0"/>
          <w:bCs/>
          <w:color w:val="auto"/>
          <w:sz w:val="28"/>
          <w:szCs w:val="28"/>
          <w:highlight w:val="none"/>
        </w:rPr>
      </w:pPr>
      <w:bookmarkStart w:id="127" w:name="_GoBack"/>
      <w:bookmarkStart w:id="15" w:name="_Toc32672"/>
      <w:bookmarkStart w:id="16" w:name="_Toc16037"/>
      <w:bookmarkStart w:id="17" w:name="_Toc15165"/>
      <w:r>
        <w:rPr>
          <w:rFonts w:hint="eastAsia" w:ascii="仿宋" w:hAnsi="仿宋" w:eastAsia="仿宋" w:cs="仿宋"/>
          <w:color w:val="auto"/>
          <w:sz w:val="28"/>
          <w:szCs w:val="28"/>
          <w:highlight w:val="none"/>
        </w:rPr>
        <w:t>自合同签订后</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个工作日内，一次性付清全部费用。</w:t>
      </w:r>
      <w:r>
        <w:rPr>
          <w:rStyle w:val="17"/>
          <w:rFonts w:hint="eastAsia" w:ascii="仿宋" w:hAnsi="仿宋" w:eastAsia="仿宋" w:cs="仿宋"/>
          <w:b w:val="0"/>
          <w:bCs/>
          <w:color w:val="auto"/>
          <w:sz w:val="28"/>
          <w:szCs w:val="28"/>
          <w:highlight w:val="none"/>
        </w:rPr>
        <w:t xml:space="preserve"> </w:t>
      </w:r>
    </w:p>
    <w:bookmarkEnd w:id="127"/>
    <w:p w14:paraId="51FED7BC">
      <w:pPr>
        <w:tabs>
          <w:tab w:val="left" w:pos="1379"/>
        </w:tabs>
        <w:snapToGrid w:val="0"/>
        <w:spacing w:line="360" w:lineRule="auto"/>
        <w:ind w:firstLine="562" w:firstLineChars="200"/>
        <w:rPr>
          <w:rFonts w:hint="eastAsia" w:ascii="仿宋" w:hAnsi="仿宋" w:eastAsia="仿宋" w:cs="仿宋"/>
          <w:b/>
          <w:sz w:val="28"/>
          <w:szCs w:val="28"/>
        </w:rPr>
      </w:pPr>
      <w:bookmarkStart w:id="18" w:name="_Toc20784"/>
      <w:bookmarkStart w:id="19" w:name="_Toc32707"/>
      <w:r>
        <w:rPr>
          <w:rFonts w:hint="eastAsia" w:ascii="仿宋" w:hAnsi="仿宋" w:eastAsia="仿宋" w:cs="仿宋"/>
          <w:b/>
          <w:sz w:val="28"/>
          <w:szCs w:val="28"/>
        </w:rPr>
        <w:t>第四条 服务期、地点、方式</w:t>
      </w:r>
      <w:bookmarkEnd w:id="15"/>
      <w:bookmarkEnd w:id="16"/>
      <w:bookmarkEnd w:id="17"/>
      <w:bookmarkEnd w:id="18"/>
      <w:bookmarkEnd w:id="19"/>
    </w:p>
    <w:p w14:paraId="76987747">
      <w:pPr>
        <w:tabs>
          <w:tab w:val="left" w:pos="1379"/>
        </w:tabs>
        <w:snapToGrid w:val="0"/>
        <w:spacing w:line="360" w:lineRule="auto"/>
        <w:ind w:firstLine="560" w:firstLineChars="200"/>
        <w:rPr>
          <w:rFonts w:hint="eastAsia" w:ascii="仿宋" w:hAnsi="仿宋" w:eastAsia="仿宋" w:cs="仿宋"/>
          <w:sz w:val="28"/>
          <w:szCs w:val="28"/>
          <w:u w:val="single"/>
        </w:rPr>
      </w:pPr>
      <w:bookmarkStart w:id="20" w:name="_Toc282696226"/>
      <w:bookmarkStart w:id="21" w:name="_Toc212019594"/>
      <w:bookmarkStart w:id="22" w:name="_Toc247334841"/>
      <w:bookmarkStart w:id="23" w:name="_Toc238984975"/>
      <w:bookmarkStart w:id="24" w:name="_Toc239568418"/>
      <w:bookmarkStart w:id="25" w:name="_Toc225670751"/>
      <w:bookmarkStart w:id="26" w:name="_Toc185395249"/>
      <w:bookmarkStart w:id="27" w:name="_Toc211911348"/>
      <w:bookmarkStart w:id="28" w:name="_Toc286993786"/>
      <w:bookmarkStart w:id="29" w:name="_Toc251768862"/>
      <w:bookmarkStart w:id="30" w:name="_Toc225244852"/>
      <w:bookmarkStart w:id="31" w:name="_Toc232492928"/>
      <w:bookmarkStart w:id="32" w:name="_Toc239233914"/>
      <w:bookmarkStart w:id="33" w:name="_Toc211854449"/>
      <w:bookmarkStart w:id="34" w:name="_Toc241833903"/>
      <w:bookmarkStart w:id="35" w:name="_Toc225654644"/>
      <w:bookmarkStart w:id="36" w:name="_Toc237145406"/>
      <w:bookmarkStart w:id="37" w:name="_Toc283019214"/>
      <w:r>
        <w:rPr>
          <w:rFonts w:hint="eastAsia" w:ascii="仿宋" w:hAnsi="仿宋" w:eastAsia="仿宋" w:cs="仿宋"/>
          <w:sz w:val="28"/>
          <w:szCs w:val="28"/>
        </w:rPr>
        <w:t>1.服务期：</w:t>
      </w:r>
      <w:r>
        <w:rPr>
          <w:rFonts w:hint="eastAsia" w:ascii="仿宋" w:hAnsi="仿宋" w:eastAsia="仿宋" w:cs="仿宋"/>
          <w:sz w:val="28"/>
          <w:szCs w:val="28"/>
          <w:u w:val="single"/>
        </w:rPr>
        <w:t xml:space="preserve">                                  </w:t>
      </w:r>
    </w:p>
    <w:p w14:paraId="178945E3">
      <w:pPr>
        <w:pStyle w:val="36"/>
        <w:snapToGrid w:val="0"/>
        <w:spacing w:line="360" w:lineRule="auto"/>
        <w:ind w:firstLine="560"/>
        <w:rPr>
          <w:rFonts w:hint="eastAsia"/>
          <w:sz w:val="28"/>
          <w:szCs w:val="28"/>
          <w:u w:val="single"/>
          <w:lang w:val="en-US"/>
        </w:rPr>
      </w:pPr>
      <w:r>
        <w:rPr>
          <w:rFonts w:hint="eastAsia"/>
          <w:sz w:val="28"/>
          <w:szCs w:val="28"/>
        </w:rPr>
        <w:t>2</w:t>
      </w:r>
      <w:r>
        <w:rPr>
          <w:rFonts w:hint="eastAsia"/>
          <w:sz w:val="28"/>
          <w:szCs w:val="28"/>
          <w:lang w:val="en-US"/>
        </w:rPr>
        <w:t>.交付条件：</w:t>
      </w:r>
      <w:r>
        <w:rPr>
          <w:rFonts w:hint="eastAsia"/>
          <w:sz w:val="28"/>
          <w:szCs w:val="28"/>
          <w:u w:val="single"/>
        </w:rPr>
        <w:t>本次所有服务工作完成</w:t>
      </w:r>
      <w:r>
        <w:rPr>
          <w:rFonts w:hint="eastAsia"/>
          <w:sz w:val="28"/>
          <w:szCs w:val="28"/>
          <w:u w:val="single"/>
          <w:lang w:val="en-US"/>
        </w:rPr>
        <w:t xml:space="preserve">            </w:t>
      </w:r>
    </w:p>
    <w:p w14:paraId="63218329">
      <w:pPr>
        <w:pStyle w:val="36"/>
        <w:snapToGrid w:val="0"/>
        <w:spacing w:line="360" w:lineRule="auto"/>
        <w:ind w:firstLine="560"/>
        <w:rPr>
          <w:rFonts w:hint="eastAsia"/>
          <w:sz w:val="28"/>
          <w:szCs w:val="28"/>
          <w:u w:val="single"/>
          <w:lang w:val="en-US"/>
        </w:rPr>
      </w:pPr>
      <w:r>
        <w:rPr>
          <w:rFonts w:hint="eastAsia"/>
          <w:sz w:val="28"/>
          <w:szCs w:val="28"/>
          <w:lang w:val="en-US"/>
        </w:rPr>
        <w:t>甲方联系人：</w:t>
      </w:r>
      <w:r>
        <w:rPr>
          <w:rFonts w:hint="eastAsia"/>
          <w:sz w:val="28"/>
          <w:szCs w:val="28"/>
          <w:u w:val="single"/>
          <w:lang w:val="en-US"/>
        </w:rPr>
        <w:t xml:space="preserve">      （姓名，联系方式）        </w:t>
      </w:r>
    </w:p>
    <w:p w14:paraId="76648AF8">
      <w:pPr>
        <w:pStyle w:val="36"/>
        <w:snapToGrid w:val="0"/>
        <w:spacing w:line="360" w:lineRule="auto"/>
        <w:ind w:firstLine="560"/>
        <w:rPr>
          <w:rFonts w:hint="eastAsia"/>
          <w:b/>
          <w:sz w:val="28"/>
          <w:szCs w:val="28"/>
        </w:rPr>
      </w:pPr>
      <w:r>
        <w:rPr>
          <w:rFonts w:hint="eastAsia"/>
          <w:sz w:val="28"/>
          <w:szCs w:val="28"/>
          <w:lang w:val="en-US"/>
        </w:rPr>
        <w:t>乙方联系人：</w:t>
      </w:r>
      <w:r>
        <w:rPr>
          <w:rFonts w:hint="eastAsia"/>
          <w:sz w:val="28"/>
          <w:szCs w:val="28"/>
          <w:u w:val="single"/>
          <w:lang w:val="en-US"/>
        </w:rPr>
        <w:t xml:space="preserve">      （姓名，联系方式）        </w:t>
      </w:r>
    </w:p>
    <w:p w14:paraId="445AE5F1">
      <w:pPr>
        <w:tabs>
          <w:tab w:val="left" w:pos="1379"/>
        </w:tabs>
        <w:snapToGrid w:val="0"/>
        <w:spacing w:line="360" w:lineRule="auto"/>
        <w:ind w:firstLine="562" w:firstLineChars="200"/>
        <w:rPr>
          <w:rFonts w:hint="eastAsia" w:ascii="仿宋" w:hAnsi="仿宋" w:eastAsia="仿宋" w:cs="仿宋"/>
          <w:b/>
          <w:sz w:val="28"/>
          <w:szCs w:val="28"/>
        </w:rPr>
      </w:pPr>
      <w:bookmarkStart w:id="38" w:name="_Toc28705"/>
      <w:bookmarkStart w:id="39" w:name="_Toc19970"/>
      <w:bookmarkStart w:id="40" w:name="_Toc14970"/>
      <w:bookmarkStart w:id="41" w:name="_Toc19538"/>
      <w:bookmarkStart w:id="42" w:name="_Toc2585"/>
      <w:r>
        <w:rPr>
          <w:rFonts w:hint="eastAsia" w:ascii="仿宋" w:hAnsi="仿宋" w:eastAsia="仿宋" w:cs="仿宋"/>
          <w:b/>
          <w:sz w:val="28"/>
          <w:szCs w:val="28"/>
        </w:rPr>
        <w:t>第五条 质量保证及售后服务</w:t>
      </w:r>
      <w:bookmarkEnd w:id="38"/>
      <w:bookmarkEnd w:id="39"/>
      <w:bookmarkEnd w:id="40"/>
      <w:bookmarkEnd w:id="41"/>
      <w:bookmarkEnd w:id="42"/>
    </w:p>
    <w:p w14:paraId="50A9A598">
      <w:pPr>
        <w:pStyle w:val="35"/>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质量保证：乙方应保证所提供的服务，符合甲方的要求。如不符时，乙方应负全责并尽快处理解决，由此造成的损失和相关费用由乙方负责，甲方保留终止合同及索赔的权利。</w:t>
      </w:r>
    </w:p>
    <w:p w14:paraId="2C76BA08">
      <w:pPr>
        <w:pStyle w:val="35"/>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售后服务：</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6E8987C">
      <w:pPr>
        <w:pStyle w:val="35"/>
        <w:numPr>
          <w:ilvl w:val="0"/>
          <w:numId w:val="2"/>
        </w:numPr>
        <w:snapToGrid w:val="0"/>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 xml:space="preserve"> </w:t>
      </w:r>
      <w:bookmarkStart w:id="43" w:name="_Toc17616"/>
      <w:bookmarkStart w:id="44" w:name="_Toc27776"/>
      <w:bookmarkStart w:id="45" w:name="_Toc9616"/>
      <w:bookmarkStart w:id="46" w:name="_Toc11338"/>
      <w:bookmarkStart w:id="47" w:name="_Toc4471"/>
      <w:r>
        <w:rPr>
          <w:rFonts w:hint="eastAsia" w:ascii="仿宋" w:hAnsi="仿宋" w:eastAsia="仿宋" w:cs="仿宋"/>
          <w:b/>
          <w:sz w:val="28"/>
          <w:szCs w:val="28"/>
        </w:rPr>
        <w:t>验收</w:t>
      </w:r>
      <w:bookmarkEnd w:id="43"/>
      <w:bookmarkEnd w:id="44"/>
      <w:bookmarkEnd w:id="45"/>
      <w:bookmarkEnd w:id="46"/>
      <w:bookmarkEnd w:id="47"/>
    </w:p>
    <w:p w14:paraId="0A5B3D3B">
      <w:pPr>
        <w:pStyle w:val="35"/>
        <w:snapToGrid w:val="0"/>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按照服务内容及要求，强化日常监督和考核，乙方配合甲方参与项目验收工作，并确保所服务项目内容符合本项目质量标准。</w:t>
      </w:r>
    </w:p>
    <w:p w14:paraId="603A08FB">
      <w:pPr>
        <w:pStyle w:val="35"/>
        <w:snapToGrid w:val="0"/>
        <w:spacing w:line="360" w:lineRule="auto"/>
        <w:ind w:firstLine="562" w:firstLineChars="200"/>
        <w:rPr>
          <w:rFonts w:hint="eastAsia" w:ascii="仿宋" w:hAnsi="仿宋" w:eastAsia="仿宋" w:cs="仿宋"/>
          <w:b/>
          <w:sz w:val="28"/>
          <w:szCs w:val="28"/>
        </w:rPr>
      </w:pPr>
      <w:bookmarkStart w:id="48" w:name="_Toc24822"/>
      <w:bookmarkStart w:id="49" w:name="_Toc19571"/>
      <w:bookmarkStart w:id="50" w:name="_Toc18954"/>
      <w:bookmarkStart w:id="51" w:name="_Toc1943"/>
      <w:bookmarkStart w:id="52" w:name="_Toc22160"/>
      <w:r>
        <w:rPr>
          <w:rFonts w:hint="eastAsia" w:ascii="仿宋" w:hAnsi="仿宋" w:eastAsia="仿宋" w:cs="仿宋"/>
          <w:b/>
          <w:sz w:val="28"/>
          <w:szCs w:val="28"/>
        </w:rPr>
        <w:t>第七条  无产权瑕疵条款</w:t>
      </w:r>
      <w:bookmarkEnd w:id="48"/>
      <w:bookmarkEnd w:id="49"/>
      <w:bookmarkEnd w:id="50"/>
      <w:bookmarkEnd w:id="51"/>
      <w:bookmarkEnd w:id="52"/>
    </w:p>
    <w:p w14:paraId="346E67D1">
      <w:pPr>
        <w:tabs>
          <w:tab w:val="left" w:pos="144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乙方保证所提供的服务的所有权完全属于乙方且无任何抵押、查封等产权瑕疵。如有产权瑕疵的，视为乙方违约。乙方应负担由此而产生的一切损失。</w:t>
      </w:r>
    </w:p>
    <w:p w14:paraId="5994C4E9">
      <w:pPr>
        <w:snapToGrid w:val="0"/>
        <w:spacing w:line="360" w:lineRule="auto"/>
        <w:ind w:firstLine="562" w:firstLineChars="200"/>
        <w:textAlignment w:val="baseline"/>
        <w:rPr>
          <w:rFonts w:hint="eastAsia" w:ascii="仿宋" w:hAnsi="仿宋" w:eastAsia="仿宋" w:cs="仿宋"/>
          <w:b/>
          <w:sz w:val="28"/>
          <w:szCs w:val="28"/>
        </w:rPr>
      </w:pPr>
      <w:bookmarkStart w:id="53" w:name="_Toc6497"/>
      <w:bookmarkStart w:id="54" w:name="_Toc11900"/>
      <w:bookmarkStart w:id="55" w:name="_Toc23452"/>
      <w:bookmarkStart w:id="56" w:name="_Toc12634"/>
      <w:bookmarkStart w:id="57" w:name="_Toc9603"/>
      <w:r>
        <w:rPr>
          <w:rFonts w:hint="eastAsia" w:ascii="仿宋" w:hAnsi="仿宋" w:eastAsia="仿宋" w:cs="仿宋"/>
          <w:b/>
          <w:sz w:val="28"/>
          <w:szCs w:val="28"/>
        </w:rPr>
        <w:t>第八条  甲方的权利和义务</w:t>
      </w:r>
      <w:bookmarkEnd w:id="53"/>
      <w:bookmarkEnd w:id="54"/>
      <w:bookmarkEnd w:id="55"/>
      <w:bookmarkEnd w:id="56"/>
      <w:bookmarkEnd w:id="57"/>
    </w:p>
    <w:p w14:paraId="2143D0E6">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1.甲方有权对合同规定范围内乙方的服务行为进行监督和检查，拥有监管权。有权定期核对乙方提供服务所配备的人员数量。对甲方认为不合理的部分有权下达整改通知书，并要求乙方限期整改。</w:t>
      </w:r>
    </w:p>
    <w:p w14:paraId="133CAD5C">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2.甲方有权依据双方签订的考评办法对乙方提供的服务进行定期考评。当考评结果未达到标准时，有权依据考评办法约定的数额扣除履约保证金。</w:t>
      </w:r>
    </w:p>
    <w:p w14:paraId="582838C4">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3.负责检查监督乙方管理工作的实施及制度的执行情况。</w:t>
      </w:r>
    </w:p>
    <w:p w14:paraId="09F1DC55">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4.根据本合同规定，按时向乙方支付应付服务费用。</w:t>
      </w:r>
    </w:p>
    <w:p w14:paraId="7D9F8FAB">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5.国家法律法规所规定由甲方承担的其它责任。</w:t>
      </w:r>
    </w:p>
    <w:p w14:paraId="425DBDF5">
      <w:pPr>
        <w:tabs>
          <w:tab w:val="left" w:pos="1379"/>
        </w:tabs>
        <w:snapToGrid w:val="0"/>
        <w:spacing w:line="360" w:lineRule="auto"/>
        <w:ind w:firstLine="562" w:firstLineChars="200"/>
        <w:rPr>
          <w:rFonts w:hint="eastAsia" w:ascii="仿宋" w:hAnsi="仿宋" w:eastAsia="仿宋" w:cs="仿宋"/>
          <w:b/>
          <w:sz w:val="28"/>
          <w:szCs w:val="28"/>
        </w:rPr>
      </w:pPr>
      <w:bookmarkStart w:id="58" w:name="_Toc10390"/>
      <w:bookmarkStart w:id="59" w:name="_Toc26775"/>
      <w:bookmarkStart w:id="60" w:name="_Toc12376"/>
      <w:bookmarkStart w:id="61" w:name="_Toc24801"/>
      <w:bookmarkStart w:id="62" w:name="_Toc7157"/>
      <w:r>
        <w:rPr>
          <w:rFonts w:hint="eastAsia" w:ascii="仿宋" w:hAnsi="仿宋" w:eastAsia="仿宋" w:cs="仿宋"/>
          <w:b/>
          <w:sz w:val="28"/>
          <w:szCs w:val="28"/>
        </w:rPr>
        <w:t>第九条  乙方的权利和义务</w:t>
      </w:r>
      <w:bookmarkEnd w:id="58"/>
      <w:bookmarkEnd w:id="59"/>
      <w:bookmarkEnd w:id="60"/>
      <w:bookmarkEnd w:id="61"/>
      <w:bookmarkEnd w:id="62"/>
    </w:p>
    <w:p w14:paraId="2B9C5BC1">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1.对本合同规定的委托服务范围内的项目享有管理权及服务义务。</w:t>
      </w:r>
    </w:p>
    <w:p w14:paraId="440AFA79">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2.根据本合同的规定向甲方收取相关服务费用，并有权在本项目管理范围内管理及合理使用。</w:t>
      </w:r>
    </w:p>
    <w:p w14:paraId="6A3BDB29">
      <w:pPr>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3.及时向甲方通告本项目服务范围内有关服务的重大事项，及时配合处理投诉。</w:t>
      </w:r>
    </w:p>
    <w:p w14:paraId="793EB065">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sz w:val="28"/>
          <w:szCs w:val="28"/>
        </w:rPr>
        <w:t>4.</w:t>
      </w:r>
      <w:r>
        <w:rPr>
          <w:rFonts w:hint="eastAsia" w:ascii="仿宋" w:hAnsi="仿宋" w:eastAsia="仿宋" w:cs="仿宋"/>
          <w:bCs/>
          <w:sz w:val="28"/>
          <w:szCs w:val="28"/>
        </w:rPr>
        <w:t>接受项目行业管理部门及政府有关部门的指导，接受甲方的监督。</w:t>
      </w:r>
    </w:p>
    <w:p w14:paraId="27A7FE13">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5.国家法律法规所规定由乙方承担的其它责任。</w:t>
      </w:r>
    </w:p>
    <w:p w14:paraId="61AA45B6">
      <w:pPr>
        <w:tabs>
          <w:tab w:val="left" w:pos="1379"/>
        </w:tabs>
        <w:snapToGrid w:val="0"/>
        <w:spacing w:line="360" w:lineRule="auto"/>
        <w:ind w:firstLine="562" w:firstLineChars="200"/>
        <w:rPr>
          <w:rFonts w:hint="eastAsia" w:ascii="仿宋" w:hAnsi="仿宋" w:eastAsia="仿宋" w:cs="仿宋"/>
          <w:b/>
          <w:sz w:val="28"/>
          <w:szCs w:val="28"/>
        </w:rPr>
      </w:pPr>
      <w:bookmarkStart w:id="63" w:name="_Toc19456"/>
      <w:bookmarkStart w:id="64" w:name="_Toc29819"/>
      <w:bookmarkStart w:id="65" w:name="_Toc134"/>
      <w:bookmarkStart w:id="66" w:name="_Toc26868"/>
      <w:bookmarkStart w:id="67" w:name="_Toc13859"/>
      <w:r>
        <w:rPr>
          <w:rFonts w:hint="eastAsia" w:ascii="仿宋" w:hAnsi="仿宋" w:eastAsia="仿宋" w:cs="仿宋"/>
          <w:b/>
          <w:sz w:val="28"/>
          <w:szCs w:val="28"/>
        </w:rPr>
        <w:t>第十条  违约责任</w:t>
      </w:r>
      <w:bookmarkEnd w:id="63"/>
      <w:bookmarkEnd w:id="64"/>
      <w:bookmarkEnd w:id="65"/>
      <w:bookmarkEnd w:id="66"/>
      <w:bookmarkEnd w:id="67"/>
    </w:p>
    <w:p w14:paraId="53380B6E">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1.甲乙双方必须遵守本合同并执行合同中的各项规定，保证本合同的正常履行。</w:t>
      </w:r>
    </w:p>
    <w:p w14:paraId="2A21EA5F">
      <w:pPr>
        <w:snapToGrid w:val="0"/>
        <w:spacing w:line="360" w:lineRule="auto"/>
        <w:ind w:firstLine="560" w:firstLineChars="200"/>
        <w:textAlignment w:val="baseline"/>
        <w:rPr>
          <w:rFonts w:hint="eastAsia" w:ascii="仿宋" w:hAnsi="仿宋" w:eastAsia="仿宋" w:cs="仿宋"/>
          <w:bCs/>
          <w:sz w:val="28"/>
          <w:szCs w:val="28"/>
        </w:rPr>
      </w:pPr>
      <w:r>
        <w:rPr>
          <w:rFonts w:hint="eastAsia" w:ascii="仿宋" w:hAnsi="仿宋" w:eastAsia="仿宋" w:cs="仿宋"/>
          <w:bCs/>
          <w:sz w:val="28"/>
          <w:szCs w:val="28"/>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14:paraId="30271187">
      <w:pPr>
        <w:tabs>
          <w:tab w:val="left" w:pos="1379"/>
        </w:tabs>
        <w:snapToGrid w:val="0"/>
        <w:spacing w:line="360" w:lineRule="auto"/>
        <w:ind w:firstLine="562" w:firstLineChars="200"/>
        <w:rPr>
          <w:rFonts w:hint="eastAsia" w:ascii="仿宋" w:hAnsi="仿宋" w:eastAsia="仿宋" w:cs="仿宋"/>
          <w:b/>
          <w:sz w:val="28"/>
          <w:szCs w:val="28"/>
        </w:rPr>
      </w:pPr>
      <w:bookmarkStart w:id="68" w:name="_Toc20006"/>
      <w:bookmarkStart w:id="69" w:name="_Toc20912"/>
      <w:bookmarkStart w:id="70" w:name="_Toc12362"/>
      <w:bookmarkStart w:id="71" w:name="_Toc24632"/>
      <w:bookmarkStart w:id="72" w:name="_Toc13266"/>
      <w:r>
        <w:rPr>
          <w:rFonts w:hint="eastAsia" w:ascii="仿宋" w:hAnsi="仿宋" w:eastAsia="仿宋" w:cs="仿宋"/>
          <w:b/>
          <w:sz w:val="28"/>
          <w:szCs w:val="28"/>
        </w:rPr>
        <w:t>第十一条  不可抗力事件处理</w:t>
      </w:r>
      <w:bookmarkEnd w:id="68"/>
      <w:bookmarkEnd w:id="69"/>
      <w:bookmarkEnd w:id="70"/>
      <w:bookmarkEnd w:id="71"/>
      <w:bookmarkEnd w:id="72"/>
    </w:p>
    <w:p w14:paraId="6FB08FDD">
      <w:pPr>
        <w:tabs>
          <w:tab w:val="left" w:pos="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1.在合同有效期内，任何一方因不可抗力事件导致不能履行合同，则合同履行期可延长，其延长期与不可抗力影响期相同。</w:t>
      </w:r>
    </w:p>
    <w:p w14:paraId="54575FA9">
      <w:pPr>
        <w:tabs>
          <w:tab w:val="left" w:pos="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2.不可抗力事件发生后，应立即通知对方，并寄送有关权威机构出具的证明。</w:t>
      </w:r>
    </w:p>
    <w:p w14:paraId="4ACB4633">
      <w:pPr>
        <w:tabs>
          <w:tab w:val="left" w:pos="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3.不可抗力事件延续30天以上，双方应通过友好协商，确定是否继续履行合同。</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E7F491B">
      <w:pPr>
        <w:tabs>
          <w:tab w:val="left" w:pos="1379"/>
        </w:tabs>
        <w:snapToGrid w:val="0"/>
        <w:spacing w:line="360" w:lineRule="auto"/>
        <w:ind w:firstLine="562" w:firstLineChars="200"/>
        <w:rPr>
          <w:rFonts w:hint="eastAsia" w:ascii="仿宋" w:hAnsi="仿宋" w:eastAsia="仿宋" w:cs="仿宋"/>
          <w:b/>
          <w:sz w:val="28"/>
          <w:szCs w:val="28"/>
        </w:rPr>
      </w:pPr>
      <w:bookmarkStart w:id="73" w:name="_Toc25202"/>
      <w:bookmarkStart w:id="74" w:name="_Toc13911"/>
      <w:bookmarkStart w:id="75" w:name="_Toc23990"/>
      <w:bookmarkStart w:id="76" w:name="_Toc22235"/>
      <w:bookmarkStart w:id="77" w:name="_Toc30380"/>
      <w:bookmarkStart w:id="78" w:name="_Toc239568423"/>
      <w:bookmarkStart w:id="79" w:name="_Toc232492933"/>
      <w:bookmarkStart w:id="80" w:name="_Toc247334846"/>
      <w:bookmarkStart w:id="81" w:name="_Toc225654649"/>
      <w:bookmarkStart w:id="82" w:name="_Toc211854454"/>
      <w:bookmarkStart w:id="83" w:name="_Toc211911353"/>
      <w:bookmarkStart w:id="84" w:name="_Toc212019599"/>
      <w:bookmarkStart w:id="85" w:name="_Toc241833908"/>
      <w:bookmarkStart w:id="86" w:name="_Toc225670756"/>
      <w:bookmarkStart w:id="87" w:name="_Toc225244857"/>
      <w:bookmarkStart w:id="88" w:name="_Toc237145411"/>
      <w:bookmarkStart w:id="89" w:name="_Toc286993792"/>
      <w:bookmarkStart w:id="90" w:name="_Toc251768867"/>
      <w:bookmarkStart w:id="91" w:name="_Toc239233919"/>
      <w:bookmarkStart w:id="92" w:name="_Toc238984980"/>
      <w:bookmarkStart w:id="93" w:name="_Toc185395254"/>
      <w:r>
        <w:rPr>
          <w:rFonts w:hint="eastAsia" w:ascii="仿宋" w:hAnsi="仿宋" w:eastAsia="仿宋" w:cs="仿宋"/>
          <w:b/>
          <w:sz w:val="28"/>
          <w:szCs w:val="28"/>
        </w:rPr>
        <w:t>第十二条  合同的变更和终止</w:t>
      </w:r>
      <w:bookmarkEnd w:id="73"/>
      <w:bookmarkEnd w:id="74"/>
      <w:bookmarkEnd w:id="75"/>
      <w:bookmarkEnd w:id="76"/>
      <w:bookmarkEnd w:id="77"/>
    </w:p>
    <w:p w14:paraId="4F40FE56">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除《中华人民共和国政府采购法》第49条、第50条第二款规定的情形外，本合同一经签订，甲乙双方不得擅自变更、中止或终止合同。</w:t>
      </w:r>
    </w:p>
    <w:p w14:paraId="5A189761">
      <w:pPr>
        <w:tabs>
          <w:tab w:val="left" w:pos="1379"/>
        </w:tabs>
        <w:snapToGrid w:val="0"/>
        <w:spacing w:line="360" w:lineRule="auto"/>
        <w:ind w:firstLine="562" w:firstLineChars="200"/>
        <w:rPr>
          <w:rFonts w:hint="eastAsia" w:ascii="仿宋" w:hAnsi="仿宋" w:eastAsia="仿宋" w:cs="仿宋"/>
          <w:b/>
          <w:sz w:val="28"/>
          <w:szCs w:val="28"/>
        </w:rPr>
      </w:pPr>
      <w:bookmarkStart w:id="94" w:name="_Toc8343"/>
      <w:bookmarkStart w:id="95" w:name="_Toc5821"/>
      <w:bookmarkStart w:id="96" w:name="_Toc29942"/>
      <w:bookmarkStart w:id="97" w:name="_Toc31995"/>
      <w:bookmarkStart w:id="98" w:name="_Toc32542"/>
      <w:r>
        <w:rPr>
          <w:rFonts w:hint="eastAsia" w:ascii="仿宋" w:hAnsi="仿宋" w:eastAsia="仿宋" w:cs="仿宋"/>
          <w:b/>
          <w:sz w:val="28"/>
          <w:szCs w:val="28"/>
        </w:rPr>
        <w:t xml:space="preserve">第十三条  </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hint="eastAsia" w:ascii="仿宋" w:hAnsi="仿宋" w:eastAsia="仿宋" w:cs="仿宋"/>
          <w:b/>
          <w:sz w:val="28"/>
          <w:szCs w:val="28"/>
        </w:rPr>
        <w:t>争议解决条款</w:t>
      </w:r>
      <w:bookmarkEnd w:id="94"/>
      <w:bookmarkEnd w:id="95"/>
      <w:bookmarkEnd w:id="96"/>
      <w:bookmarkEnd w:id="97"/>
      <w:bookmarkEnd w:id="98"/>
    </w:p>
    <w:p w14:paraId="7906AC7F">
      <w:pPr>
        <w:pStyle w:val="35"/>
        <w:snapToGrid w:val="0"/>
        <w:spacing w:line="360" w:lineRule="auto"/>
        <w:ind w:firstLine="480"/>
        <w:rPr>
          <w:rFonts w:hint="eastAsia" w:ascii="仿宋" w:hAnsi="仿宋" w:eastAsia="仿宋" w:cs="仿宋"/>
          <w:sz w:val="28"/>
          <w:szCs w:val="28"/>
        </w:rPr>
      </w:pPr>
      <w:r>
        <w:rPr>
          <w:rFonts w:hint="eastAsia" w:ascii="仿宋" w:hAnsi="仿宋" w:eastAsia="仿宋" w:cs="仿宋"/>
          <w:sz w:val="28"/>
          <w:szCs w:val="28"/>
        </w:rPr>
        <w:t>在执行本合同中发生的或与本合同有关的争端，双方应通过友好协商解决，经协商在7天内不能达成协议时，则采取：向甲方所在地有管辖权的人民法院提起诉讼；</w:t>
      </w:r>
    </w:p>
    <w:p w14:paraId="5CB06336">
      <w:pPr>
        <w:tabs>
          <w:tab w:val="left" w:pos="1379"/>
        </w:tabs>
        <w:snapToGrid w:val="0"/>
        <w:spacing w:line="360" w:lineRule="auto"/>
        <w:ind w:firstLine="562" w:firstLineChars="200"/>
        <w:rPr>
          <w:rFonts w:hint="eastAsia" w:ascii="仿宋" w:hAnsi="仿宋" w:eastAsia="仿宋" w:cs="仿宋"/>
          <w:b/>
          <w:sz w:val="28"/>
          <w:szCs w:val="28"/>
        </w:rPr>
      </w:pPr>
      <w:bookmarkStart w:id="99" w:name="_Toc225244858"/>
      <w:bookmarkStart w:id="100" w:name="_Toc239233920"/>
      <w:bookmarkStart w:id="101" w:name="_Toc251768868"/>
      <w:bookmarkStart w:id="102" w:name="_Toc185395255"/>
      <w:bookmarkStart w:id="103" w:name="_Toc286993793"/>
      <w:bookmarkStart w:id="104" w:name="_Toc237145412"/>
      <w:bookmarkStart w:id="105" w:name="_Toc238984981"/>
      <w:bookmarkStart w:id="106" w:name="_Toc232492934"/>
      <w:bookmarkStart w:id="107" w:name="_Toc247334847"/>
      <w:bookmarkStart w:id="108" w:name="_Toc239568424"/>
      <w:bookmarkStart w:id="109" w:name="_Toc225654650"/>
      <w:bookmarkStart w:id="110" w:name="_Toc282696231"/>
      <w:bookmarkStart w:id="111" w:name="_Toc283019219"/>
      <w:bookmarkStart w:id="112" w:name="_Toc212019600"/>
      <w:bookmarkStart w:id="113" w:name="_Toc225670757"/>
      <w:bookmarkStart w:id="114" w:name="_Toc241833909"/>
      <w:bookmarkStart w:id="115" w:name="_Toc211911354"/>
      <w:bookmarkStart w:id="116" w:name="_Toc211854455"/>
      <w:bookmarkStart w:id="117" w:name="_Toc29426"/>
      <w:bookmarkStart w:id="118" w:name="_Toc3997"/>
      <w:bookmarkStart w:id="119" w:name="_Toc233"/>
      <w:bookmarkStart w:id="120" w:name="_Toc24825"/>
      <w:bookmarkStart w:id="121" w:name="_Toc29298"/>
      <w:r>
        <w:rPr>
          <w:rFonts w:hint="eastAsia" w:ascii="仿宋" w:hAnsi="仿宋" w:eastAsia="仿宋" w:cs="仿宋"/>
          <w:b/>
          <w:sz w:val="28"/>
          <w:szCs w:val="28"/>
        </w:rPr>
        <w:t>第十四条  合同</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hint="eastAsia" w:ascii="仿宋" w:hAnsi="仿宋" w:eastAsia="仿宋" w:cs="仿宋"/>
          <w:b/>
          <w:sz w:val="28"/>
          <w:szCs w:val="28"/>
        </w:rPr>
        <w:t>生效及其他</w:t>
      </w:r>
      <w:bookmarkEnd w:id="117"/>
      <w:bookmarkEnd w:id="118"/>
      <w:bookmarkEnd w:id="119"/>
      <w:bookmarkEnd w:id="120"/>
      <w:bookmarkEnd w:id="121"/>
    </w:p>
    <w:p w14:paraId="20A44E28">
      <w:pPr>
        <w:pStyle w:val="37"/>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1.合同经双方法定代表人或授权委托代理人签字并加盖单位公章后生效。</w:t>
      </w:r>
    </w:p>
    <w:p w14:paraId="70643161">
      <w:pPr>
        <w:pStyle w:val="37"/>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2.合同执行中涉及采购资金和采购内容修改或补充的，须经政府采购监管部门审批，并签订书面补充协议报政府采购监督管理部门备案，方可作为主合同不可分割的一部分。</w:t>
      </w:r>
    </w:p>
    <w:p w14:paraId="57DEB431">
      <w:pPr>
        <w:pStyle w:val="37"/>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3.本合同一式</w:t>
      </w:r>
      <w:r>
        <w:rPr>
          <w:rFonts w:hint="eastAsia" w:ascii="仿宋" w:hAnsi="仿宋" w:eastAsia="仿宋" w:cs="仿宋"/>
          <w:sz w:val="28"/>
          <w:szCs w:val="28"/>
          <w:u w:val="single"/>
        </w:rPr>
        <w:t xml:space="preserve">     </w:t>
      </w:r>
      <w:r>
        <w:rPr>
          <w:rFonts w:hint="eastAsia" w:ascii="仿宋" w:hAnsi="仿宋" w:eastAsia="仿宋" w:cs="仿宋"/>
          <w:sz w:val="28"/>
          <w:szCs w:val="28"/>
        </w:rPr>
        <w:t>份，自双方签章之日起起效。甲方</w:t>
      </w:r>
      <w:r>
        <w:rPr>
          <w:rFonts w:hint="eastAsia" w:ascii="仿宋" w:hAnsi="仿宋" w:eastAsia="仿宋" w:cs="仿宋"/>
          <w:sz w:val="28"/>
          <w:szCs w:val="28"/>
          <w:u w:val="single"/>
        </w:rPr>
        <w:t xml:space="preserve">     </w:t>
      </w:r>
      <w:r>
        <w:rPr>
          <w:rFonts w:hint="eastAsia" w:ascii="仿宋" w:hAnsi="仿宋" w:eastAsia="仿宋" w:cs="仿宋"/>
          <w:sz w:val="28"/>
          <w:szCs w:val="28"/>
        </w:rPr>
        <w:t>份，乙方</w:t>
      </w:r>
      <w:r>
        <w:rPr>
          <w:rFonts w:hint="eastAsia" w:ascii="仿宋" w:hAnsi="仿宋" w:eastAsia="仿宋" w:cs="仿宋"/>
          <w:i/>
          <w:iCs/>
          <w:sz w:val="28"/>
          <w:szCs w:val="28"/>
          <w:u w:val="single"/>
        </w:rPr>
        <w:t xml:space="preserve">     </w:t>
      </w:r>
      <w:r>
        <w:rPr>
          <w:rFonts w:hint="eastAsia" w:ascii="仿宋" w:hAnsi="仿宋" w:eastAsia="仿宋" w:cs="仿宋"/>
          <w:sz w:val="28"/>
          <w:szCs w:val="28"/>
        </w:rPr>
        <w:t>份，具有同等法律效力。</w:t>
      </w:r>
    </w:p>
    <w:p w14:paraId="4D410531">
      <w:pPr>
        <w:tabs>
          <w:tab w:val="left" w:pos="1379"/>
        </w:tabs>
        <w:snapToGrid w:val="0"/>
        <w:spacing w:line="360" w:lineRule="auto"/>
        <w:ind w:firstLine="562" w:firstLineChars="200"/>
        <w:rPr>
          <w:rFonts w:hint="eastAsia" w:ascii="仿宋" w:hAnsi="仿宋" w:eastAsia="仿宋" w:cs="仿宋"/>
          <w:b/>
          <w:sz w:val="28"/>
          <w:szCs w:val="28"/>
        </w:rPr>
      </w:pPr>
      <w:bookmarkStart w:id="122" w:name="_Toc15608"/>
      <w:bookmarkStart w:id="123" w:name="_Toc2235"/>
      <w:bookmarkStart w:id="124" w:name="_Toc8611"/>
      <w:bookmarkStart w:id="125" w:name="_Toc12138"/>
      <w:bookmarkStart w:id="126" w:name="_Toc11151"/>
      <w:r>
        <w:rPr>
          <w:rFonts w:hint="eastAsia" w:ascii="仿宋" w:hAnsi="仿宋" w:eastAsia="仿宋" w:cs="仿宋"/>
          <w:b/>
          <w:sz w:val="28"/>
          <w:szCs w:val="28"/>
        </w:rPr>
        <w:t>第十五条  附件</w:t>
      </w:r>
      <w:bookmarkEnd w:id="122"/>
      <w:bookmarkEnd w:id="123"/>
      <w:bookmarkEnd w:id="124"/>
      <w:bookmarkEnd w:id="125"/>
      <w:bookmarkEnd w:id="126"/>
    </w:p>
    <w:p w14:paraId="73E6A638">
      <w:pPr>
        <w:pStyle w:val="37"/>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单一来源采购</w:t>
      </w:r>
      <w:r>
        <w:rPr>
          <w:rFonts w:hint="eastAsia" w:ascii="仿宋" w:hAnsi="仿宋" w:eastAsia="仿宋" w:cs="仿宋"/>
          <w:sz w:val="28"/>
          <w:szCs w:val="28"/>
        </w:rPr>
        <w:t>文件</w:t>
      </w:r>
    </w:p>
    <w:p w14:paraId="577D9E08">
      <w:pPr>
        <w:pStyle w:val="37"/>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2.澄清文件（若有）</w:t>
      </w:r>
    </w:p>
    <w:p w14:paraId="3AF9AE9E">
      <w:pPr>
        <w:pStyle w:val="37"/>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3.响应文件</w:t>
      </w:r>
    </w:p>
    <w:p w14:paraId="15C9DDD4">
      <w:pPr>
        <w:pStyle w:val="37"/>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4.成交通知书</w:t>
      </w:r>
    </w:p>
    <w:p w14:paraId="23E2456B">
      <w:pPr>
        <w:pStyle w:val="37"/>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rPr>
        <w:t>5.其他</w:t>
      </w:r>
    </w:p>
    <w:p w14:paraId="63CFF018">
      <w:pPr>
        <w:spacing w:line="360" w:lineRule="auto"/>
        <w:ind w:firstLine="560" w:firstLineChars="200"/>
        <w:rPr>
          <w:rFonts w:hint="eastAsia" w:ascii="仿宋" w:hAnsi="仿宋" w:eastAsia="仿宋" w:cs="仿宋"/>
          <w:sz w:val="28"/>
          <w:szCs w:val="28"/>
        </w:rPr>
      </w:pPr>
    </w:p>
    <w:p w14:paraId="1A6E1057">
      <w:pPr>
        <w:spacing w:line="360" w:lineRule="auto"/>
        <w:ind w:firstLine="560" w:firstLineChars="200"/>
        <w:rPr>
          <w:rFonts w:hint="eastAsia" w:ascii="仿宋" w:hAnsi="仿宋" w:eastAsia="仿宋" w:cs="仿宋"/>
          <w:sz w:val="28"/>
          <w:szCs w:val="28"/>
        </w:rPr>
      </w:pPr>
    </w:p>
    <w:p w14:paraId="6939E2E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甲     方：（公章）   </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 xml:space="preserve">   乙    方：   （公章）</w:t>
      </w:r>
    </w:p>
    <w:p w14:paraId="570F412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法定代表人（委托代理人）：      法定代表人（委托代理人）：</w:t>
      </w:r>
    </w:p>
    <w:p w14:paraId="027F00A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地    址：                      地    址：</w:t>
      </w:r>
    </w:p>
    <w:p w14:paraId="4E557F9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开户银行：                      开户银行：</w:t>
      </w:r>
    </w:p>
    <w:p w14:paraId="2B5C982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账    号：                      账    号：</w:t>
      </w:r>
    </w:p>
    <w:p w14:paraId="58AC053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纳税人识别号：                  纳税人识别号：</w:t>
      </w:r>
    </w:p>
    <w:p w14:paraId="236653AB">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 xml:space="preserve">  电    话：                      电    话：</w:t>
      </w:r>
    </w:p>
    <w:p w14:paraId="03B39830">
      <w:pPr>
        <w:pStyle w:val="2"/>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日    期：    年  月  日 </w:t>
      </w:r>
      <w:r>
        <w:rPr>
          <w:rFonts w:hint="eastAsia" w:ascii="仿宋" w:hAnsi="仿宋" w:eastAsia="仿宋" w:cs="仿宋"/>
          <w:sz w:val="28"/>
          <w:szCs w:val="28"/>
        </w:rPr>
        <w:tab/>
      </w:r>
      <w:r>
        <w:rPr>
          <w:rFonts w:hint="eastAsia" w:ascii="仿宋" w:hAnsi="仿宋" w:eastAsia="仿宋" w:cs="仿宋"/>
          <w:sz w:val="28"/>
          <w:szCs w:val="28"/>
        </w:rPr>
        <w:t xml:space="preserve">      日    期：  年  月  日</w:t>
      </w:r>
    </w:p>
    <w:p w14:paraId="21050D4D"/>
    <w:sectPr>
      <w:pgSz w:w="11906" w:h="16838"/>
      <w:pgMar w:top="1134" w:right="1134" w:bottom="1134" w:left="1701"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4F304F"/>
    <w:rsid w:val="000008AB"/>
    <w:rsid w:val="00083BD6"/>
    <w:rsid w:val="000B1066"/>
    <w:rsid w:val="000E0E19"/>
    <w:rsid w:val="0010533F"/>
    <w:rsid w:val="00112AED"/>
    <w:rsid w:val="00190D4E"/>
    <w:rsid w:val="001C2E1C"/>
    <w:rsid w:val="00201539"/>
    <w:rsid w:val="002100B2"/>
    <w:rsid w:val="00214A0A"/>
    <w:rsid w:val="00222AC8"/>
    <w:rsid w:val="00274436"/>
    <w:rsid w:val="002D0D94"/>
    <w:rsid w:val="00301739"/>
    <w:rsid w:val="003420F1"/>
    <w:rsid w:val="00346AAC"/>
    <w:rsid w:val="004C154C"/>
    <w:rsid w:val="004F304F"/>
    <w:rsid w:val="0055419F"/>
    <w:rsid w:val="005A611A"/>
    <w:rsid w:val="005D60C2"/>
    <w:rsid w:val="005E12E5"/>
    <w:rsid w:val="00661C18"/>
    <w:rsid w:val="00682E67"/>
    <w:rsid w:val="00720785"/>
    <w:rsid w:val="00761D68"/>
    <w:rsid w:val="007676C6"/>
    <w:rsid w:val="00777449"/>
    <w:rsid w:val="007C0D65"/>
    <w:rsid w:val="0085767F"/>
    <w:rsid w:val="00886211"/>
    <w:rsid w:val="00902A97"/>
    <w:rsid w:val="00903067"/>
    <w:rsid w:val="00907A6F"/>
    <w:rsid w:val="009E6559"/>
    <w:rsid w:val="00A421F5"/>
    <w:rsid w:val="00A606A3"/>
    <w:rsid w:val="00A90D88"/>
    <w:rsid w:val="00AA08A6"/>
    <w:rsid w:val="00AA0BDA"/>
    <w:rsid w:val="00AA1629"/>
    <w:rsid w:val="00B87159"/>
    <w:rsid w:val="00C0240D"/>
    <w:rsid w:val="00C35C96"/>
    <w:rsid w:val="00D26D91"/>
    <w:rsid w:val="00D94256"/>
    <w:rsid w:val="00DB6FAA"/>
    <w:rsid w:val="00DC659B"/>
    <w:rsid w:val="00E4110D"/>
    <w:rsid w:val="00E812FC"/>
    <w:rsid w:val="00E869B9"/>
    <w:rsid w:val="00EA43E5"/>
    <w:rsid w:val="00ED4D20"/>
    <w:rsid w:val="00F457DB"/>
    <w:rsid w:val="00F66F2B"/>
    <w:rsid w:val="00F75BFC"/>
    <w:rsid w:val="00FC18BC"/>
    <w:rsid w:val="00FC75AE"/>
    <w:rsid w:val="0878022B"/>
    <w:rsid w:val="18B0756E"/>
    <w:rsid w:val="1B6D0B4D"/>
    <w:rsid w:val="28EB474E"/>
    <w:rsid w:val="2F3344B1"/>
    <w:rsid w:val="3B60677A"/>
    <w:rsid w:val="45141A1D"/>
    <w:rsid w:val="4613720A"/>
    <w:rsid w:val="66763171"/>
    <w:rsid w:val="69141CCE"/>
    <w:rsid w:val="74376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6"/>
    <w:autoRedefine/>
    <w:qFormat/>
    <w:uiPriority w:val="0"/>
    <w:pPr>
      <w:keepNext/>
      <w:keepLines/>
      <w:autoSpaceDE w:val="0"/>
      <w:autoSpaceDN w:val="0"/>
      <w:adjustRightInd w:val="0"/>
      <w:spacing w:before="240" w:after="120"/>
      <w:ind w:left="425" w:hanging="425"/>
      <w:jc w:val="center"/>
      <w:outlineLvl w:val="0"/>
    </w:pPr>
    <w:rPr>
      <w:rFonts w:ascii="宋体" w:hAnsi="宋体"/>
      <w:b/>
      <w:bCs/>
      <w:kern w:val="44"/>
      <w:sz w:val="32"/>
      <w:szCs w:val="20"/>
    </w:rPr>
  </w:style>
  <w:style w:type="paragraph" w:styleId="4">
    <w:name w:val="heading 4"/>
    <w:basedOn w:val="1"/>
    <w:next w:val="1"/>
    <w:link w:val="20"/>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28"/>
    <w:autoRedefine/>
    <w:qFormat/>
    <w:uiPriority w:val="0"/>
    <w:pPr>
      <w:tabs>
        <w:tab w:val="left" w:pos="567"/>
      </w:tabs>
      <w:spacing w:before="120" w:line="22" w:lineRule="atLeast"/>
    </w:pPr>
    <w:rPr>
      <w:rFonts w:ascii="宋体" w:hAnsi="宋体"/>
    </w:rPr>
  </w:style>
  <w:style w:type="paragraph" w:styleId="5">
    <w:name w:val="Document Map"/>
    <w:basedOn w:val="1"/>
    <w:link w:val="21"/>
    <w:autoRedefine/>
    <w:semiHidden/>
    <w:unhideWhenUsed/>
    <w:qFormat/>
    <w:uiPriority w:val="99"/>
    <w:rPr>
      <w:rFonts w:ascii="微软雅黑" w:eastAsia="微软雅黑"/>
      <w:sz w:val="18"/>
      <w:szCs w:val="18"/>
    </w:rPr>
  </w:style>
  <w:style w:type="paragraph" w:styleId="6">
    <w:name w:val="Body Text Indent"/>
    <w:basedOn w:val="1"/>
    <w:next w:val="7"/>
    <w:autoRedefine/>
    <w:qFormat/>
    <w:uiPriority w:val="0"/>
    <w:pPr>
      <w:ind w:firstLine="552"/>
    </w:pPr>
    <w:rPr>
      <w:rFonts w:ascii="宋体"/>
      <w:sz w:val="28"/>
    </w:rPr>
  </w:style>
  <w:style w:type="paragraph" w:styleId="7">
    <w:name w:val="envelope return"/>
    <w:basedOn w:val="1"/>
    <w:qFormat/>
    <w:uiPriority w:val="0"/>
    <w:pPr>
      <w:snapToGrid w:val="0"/>
    </w:pPr>
    <w:rPr>
      <w:rFonts w:ascii="Arial" w:hAnsi="Arial"/>
    </w:rPr>
  </w:style>
  <w:style w:type="paragraph" w:styleId="8">
    <w:name w:val="Balloon Text"/>
    <w:basedOn w:val="1"/>
    <w:link w:val="33"/>
    <w:autoRedefine/>
    <w:semiHidden/>
    <w:unhideWhenUsed/>
    <w:qFormat/>
    <w:uiPriority w:val="99"/>
    <w:pPr>
      <w:spacing w:line="240" w:lineRule="auto"/>
    </w:pPr>
    <w:rPr>
      <w:sz w:val="18"/>
      <w:szCs w:val="18"/>
    </w:rPr>
  </w:style>
  <w:style w:type="paragraph" w:styleId="9">
    <w:name w:val="footer"/>
    <w:basedOn w:val="1"/>
    <w:link w:val="19"/>
    <w:autoRedefine/>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11">
    <w:name w:val="Subtitle"/>
    <w:basedOn w:val="1"/>
    <w:next w:val="1"/>
    <w:autoRedefine/>
    <w:qFormat/>
    <w:uiPriority w:val="11"/>
    <w:pPr>
      <w:spacing w:after="60" w:afterLines="0"/>
      <w:jc w:val="center"/>
      <w:outlineLvl w:val="1"/>
    </w:pPr>
    <w:rPr>
      <w:rFonts w:ascii="Cambria" w:hAnsi="Cambria" w:eastAsia="宋体"/>
    </w:rPr>
  </w:style>
  <w:style w:type="paragraph" w:styleId="12">
    <w:name w:val="Body Text First Indent"/>
    <w:basedOn w:val="2"/>
    <w:link w:val="29"/>
    <w:autoRedefine/>
    <w:unhideWhenUsed/>
    <w:qFormat/>
    <w:uiPriority w:val="99"/>
    <w:pPr>
      <w:tabs>
        <w:tab w:val="clear" w:pos="567"/>
      </w:tabs>
      <w:spacing w:before="0" w:after="120" w:line="240" w:lineRule="auto"/>
      <w:ind w:firstLine="420" w:firstLineChars="100"/>
    </w:pPr>
    <w:rPr>
      <w:rFonts w:ascii="Calibri" w:hAnsi="Calibri"/>
      <w:sz w:val="21"/>
    </w:rPr>
  </w:style>
  <w:style w:type="paragraph" w:styleId="13">
    <w:name w:val="Body Text First Indent 2"/>
    <w:basedOn w:val="6"/>
    <w:next w:val="1"/>
    <w:qFormat/>
    <w:uiPriority w:val="0"/>
    <w:pPr>
      <w:spacing w:after="120" w:line="240" w:lineRule="auto"/>
      <w:ind w:left="420" w:leftChars="200" w:firstLine="420" w:firstLineChars="200"/>
    </w:pPr>
    <w:rPr>
      <w:rFonts w:ascii="Times New Roman" w:hAnsi="Times New Roman"/>
      <w:spacing w:val="0"/>
      <w:sz w:val="21"/>
      <w:szCs w:val="24"/>
    </w:r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color w:val="555555"/>
      <w:sz w:val="21"/>
      <w:szCs w:val="21"/>
      <w:bdr w:val="single" w:color="CCCCCC" w:sz="6" w:space="0"/>
      <w:shd w:val="clear" w:color="auto" w:fill="FFFFFF"/>
    </w:rPr>
  </w:style>
  <w:style w:type="character" w:customStyle="1" w:styleId="18">
    <w:name w:val="页眉 Char"/>
    <w:basedOn w:val="16"/>
    <w:link w:val="10"/>
    <w:autoRedefine/>
    <w:qFormat/>
    <w:uiPriority w:val="99"/>
    <w:rPr>
      <w:sz w:val="18"/>
      <w:szCs w:val="18"/>
    </w:rPr>
  </w:style>
  <w:style w:type="character" w:customStyle="1" w:styleId="19">
    <w:name w:val="页脚 Char"/>
    <w:basedOn w:val="16"/>
    <w:link w:val="9"/>
    <w:autoRedefine/>
    <w:qFormat/>
    <w:uiPriority w:val="99"/>
    <w:rPr>
      <w:sz w:val="18"/>
      <w:szCs w:val="18"/>
    </w:rPr>
  </w:style>
  <w:style w:type="character" w:customStyle="1" w:styleId="20">
    <w:name w:val="标题 4 Char"/>
    <w:basedOn w:val="16"/>
    <w:link w:val="4"/>
    <w:autoRedefine/>
    <w:qFormat/>
    <w:uiPriority w:val="9"/>
    <w:rPr>
      <w:rFonts w:asciiTheme="majorHAnsi" w:hAnsiTheme="majorHAnsi" w:eastAsiaTheme="majorEastAsia" w:cstheme="majorBidi"/>
      <w:b/>
      <w:bCs/>
      <w:sz w:val="28"/>
      <w:szCs w:val="28"/>
    </w:rPr>
  </w:style>
  <w:style w:type="character" w:customStyle="1" w:styleId="21">
    <w:name w:val="文档结构图 Char"/>
    <w:basedOn w:val="16"/>
    <w:link w:val="5"/>
    <w:autoRedefine/>
    <w:semiHidden/>
    <w:qFormat/>
    <w:uiPriority w:val="99"/>
    <w:rPr>
      <w:rFonts w:ascii="微软雅黑" w:hAnsi="Times New Roman" w:eastAsia="微软雅黑" w:cs="Times New Roman"/>
      <w:sz w:val="18"/>
      <w:szCs w:val="18"/>
    </w:rPr>
  </w:style>
  <w:style w:type="character" w:customStyle="1" w:styleId="22">
    <w:name w:val="UH正文 Char"/>
    <w:link w:val="23"/>
    <w:autoRedefine/>
    <w:qFormat/>
    <w:locked/>
    <w:uiPriority w:val="0"/>
    <w:rPr>
      <w:rFonts w:ascii="Arial" w:hAnsi="Arial" w:eastAsia="Times New Roman"/>
      <w:sz w:val="24"/>
    </w:rPr>
  </w:style>
  <w:style w:type="paragraph" w:customStyle="1" w:styleId="23">
    <w:name w:val="UH正文"/>
    <w:link w:val="22"/>
    <w:autoRedefine/>
    <w:qFormat/>
    <w:uiPriority w:val="0"/>
    <w:pPr>
      <w:spacing w:line="360" w:lineRule="auto"/>
      <w:ind w:firstLine="200" w:firstLineChars="200"/>
    </w:pPr>
    <w:rPr>
      <w:rFonts w:ascii="Arial" w:hAnsi="Arial" w:eastAsia="Times New Roman" w:cstheme="minorBidi"/>
      <w:kern w:val="2"/>
      <w:sz w:val="24"/>
      <w:szCs w:val="22"/>
      <w:lang w:val="en-US" w:eastAsia="zh-CN" w:bidi="ar-SA"/>
    </w:rPr>
  </w:style>
  <w:style w:type="character" w:customStyle="1" w:styleId="24">
    <w:name w:val="NormalCharacter"/>
    <w:autoRedefine/>
    <w:semiHidden/>
    <w:qFormat/>
    <w:uiPriority w:val="0"/>
  </w:style>
  <w:style w:type="character" w:customStyle="1" w:styleId="25">
    <w:name w:val="标题 1 Char"/>
    <w:basedOn w:val="16"/>
    <w:autoRedefine/>
    <w:qFormat/>
    <w:uiPriority w:val="9"/>
    <w:rPr>
      <w:rFonts w:ascii="Times New Roman" w:hAnsi="Times New Roman" w:eastAsia="宋体" w:cs="Times New Roman"/>
      <w:b/>
      <w:bCs/>
      <w:kern w:val="44"/>
      <w:sz w:val="44"/>
      <w:szCs w:val="44"/>
    </w:rPr>
  </w:style>
  <w:style w:type="character" w:customStyle="1" w:styleId="26">
    <w:name w:val="标题 1 Char1"/>
    <w:link w:val="3"/>
    <w:autoRedefine/>
    <w:qFormat/>
    <w:uiPriority w:val="0"/>
    <w:rPr>
      <w:rFonts w:ascii="宋体" w:hAnsi="宋体" w:eastAsia="宋体" w:cs="Times New Roman"/>
      <w:b/>
      <w:bCs/>
      <w:kern w:val="44"/>
      <w:sz w:val="32"/>
      <w:szCs w:val="20"/>
    </w:rPr>
  </w:style>
  <w:style w:type="character" w:customStyle="1" w:styleId="27">
    <w:name w:val="正文文本 Char"/>
    <w:basedOn w:val="16"/>
    <w:autoRedefine/>
    <w:semiHidden/>
    <w:qFormat/>
    <w:uiPriority w:val="99"/>
    <w:rPr>
      <w:rFonts w:ascii="Times New Roman" w:hAnsi="Times New Roman" w:eastAsia="宋体" w:cs="Times New Roman"/>
      <w:sz w:val="24"/>
      <w:szCs w:val="24"/>
    </w:rPr>
  </w:style>
  <w:style w:type="character" w:customStyle="1" w:styleId="28">
    <w:name w:val="正文文本 Char1"/>
    <w:link w:val="2"/>
    <w:autoRedefine/>
    <w:qFormat/>
    <w:uiPriority w:val="0"/>
    <w:rPr>
      <w:rFonts w:ascii="宋体" w:hAnsi="宋体" w:eastAsia="宋体" w:cs="Times New Roman"/>
      <w:sz w:val="24"/>
      <w:szCs w:val="24"/>
    </w:rPr>
  </w:style>
  <w:style w:type="character" w:customStyle="1" w:styleId="29">
    <w:name w:val="正文首行缩进 Char"/>
    <w:basedOn w:val="27"/>
    <w:link w:val="12"/>
    <w:autoRedefine/>
    <w:qFormat/>
    <w:uiPriority w:val="99"/>
    <w:rPr>
      <w:rFonts w:ascii="Calibri" w:hAnsi="Calibri" w:eastAsia="宋体" w:cs="Times New Roman"/>
      <w:sz w:val="24"/>
      <w:szCs w:val="24"/>
    </w:rPr>
  </w:style>
  <w:style w:type="paragraph" w:styleId="30">
    <w:name w:val="List Paragraph"/>
    <w:basedOn w:val="1"/>
    <w:autoRedefine/>
    <w:qFormat/>
    <w:uiPriority w:val="99"/>
    <w:pPr>
      <w:spacing w:line="240" w:lineRule="auto"/>
      <w:ind w:firstLine="420" w:firstLineChars="200"/>
    </w:pPr>
    <w:rPr>
      <w:sz w:val="21"/>
    </w:rPr>
  </w:style>
  <w:style w:type="paragraph" w:customStyle="1" w:styleId="31">
    <w:name w:val="Fließtext"/>
    <w:autoRedefine/>
    <w:qFormat/>
    <w:uiPriority w:val="0"/>
    <w:pPr>
      <w:widowControl w:val="0"/>
      <w:overflowPunct w:val="0"/>
      <w:autoSpaceDE w:val="0"/>
      <w:autoSpaceDN w:val="0"/>
      <w:adjustRightInd w:val="0"/>
      <w:jc w:val="both"/>
      <w:textAlignment w:val="baseline"/>
    </w:pPr>
    <w:rPr>
      <w:rFonts w:ascii="Calibri" w:hAnsi="Calibri" w:eastAsia="宋体" w:cs="Times New Roman"/>
      <w:kern w:val="28"/>
      <w:sz w:val="21"/>
      <w:szCs w:val="20"/>
      <w:lang w:val="en-US" w:eastAsia="zh-CN" w:bidi="ar-SA"/>
    </w:rPr>
  </w:style>
  <w:style w:type="paragraph" w:customStyle="1" w:styleId="32">
    <w:name w:val="Table Text"/>
    <w:basedOn w:val="1"/>
    <w:autoRedefine/>
    <w:semiHidden/>
    <w:qFormat/>
    <w:uiPriority w:val="0"/>
    <w:pPr>
      <w:spacing w:line="240" w:lineRule="auto"/>
    </w:pPr>
    <w:rPr>
      <w:rFonts w:ascii="仿宋" w:hAnsi="仿宋" w:eastAsia="仿宋" w:cs="仿宋"/>
      <w:lang w:eastAsia="en-US"/>
    </w:rPr>
  </w:style>
  <w:style w:type="character" w:customStyle="1" w:styleId="33">
    <w:name w:val="批注框文本 Char"/>
    <w:basedOn w:val="16"/>
    <w:link w:val="8"/>
    <w:autoRedefine/>
    <w:semiHidden/>
    <w:qFormat/>
    <w:uiPriority w:val="99"/>
    <w:rPr>
      <w:rFonts w:ascii="Times New Roman" w:hAnsi="Times New Roman" w:eastAsia="宋体" w:cs="Times New Roman"/>
      <w:sz w:val="18"/>
      <w:szCs w:val="18"/>
    </w:rPr>
  </w:style>
  <w:style w:type="paragraph" w:customStyle="1" w:styleId="34">
    <w:name w:val="正文缩进1"/>
    <w:basedOn w:val="1"/>
    <w:autoRedefine/>
    <w:qFormat/>
    <w:uiPriority w:val="0"/>
    <w:pPr>
      <w:spacing w:before="120" w:after="120" w:line="240" w:lineRule="auto"/>
      <w:ind w:firstLine="880" w:firstLineChars="200"/>
    </w:pPr>
    <w:rPr>
      <w:rFonts w:ascii="Calibri" w:hAnsi="Calibri"/>
    </w:rPr>
  </w:style>
  <w:style w:type="paragraph" w:customStyle="1" w:styleId="35">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36">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37">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1861</Words>
  <Characters>1907</Characters>
  <Lines>5</Lines>
  <Paragraphs>1</Paragraphs>
  <TotalTime>1</TotalTime>
  <ScaleCrop>false</ScaleCrop>
  <LinksUpToDate>false</LinksUpToDate>
  <CharactersWithSpaces>2716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2024-03-21T08:53:00Z</dcterms:created>
  <dc:creator>Administrator</dc:creator>
  <cp:lastModifiedBy>XXIA</cp:lastModifiedBy>
  <dcterms:modified xsi:type="dcterms:W3CDTF">2026-07-16T06:24:46Z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53C61F222C944FE48514E1D58D333A62_12</vt:lpwstr>
  </property>
  <property fmtid="{D5CDD505-2E9C-101B-9397-08002B2CF9AE}" pid="4" name="KSOTemplateDocerSaveRecord">
    <vt:lpwstr>eyJoZGlkIjoiNzRkODU0NWM1NTRlNTZjMDFhNjAyNDM3ZDE1ZjE0YTMiLCJ1c2VySWQiOiIzMTQzODkxMTYifQ==</vt:lpwstr>
  </property>
</Properties>
</file>