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A96E9F">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b/>
          <w:sz w:val="24"/>
          <w:szCs w:val="24"/>
        </w:rPr>
      </w:pPr>
      <w:r>
        <w:rPr>
          <w:rFonts w:hint="eastAsia" w:ascii="宋体" w:hAnsi="宋体" w:eastAsia="宋体" w:cs="宋体"/>
          <w:b/>
          <w:sz w:val="24"/>
          <w:szCs w:val="24"/>
        </w:rPr>
        <w:t>一、项目概况</w:t>
      </w:r>
    </w:p>
    <w:p w14:paraId="029269FF">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为保证陕西省教育考试招生工作顺利实施，更好的通过短信方式与各类考试招生信息系统的应用对接，提高信息发送效率，且能够统一对接短信网关进行短信发送，特建设本项目。</w:t>
      </w:r>
    </w:p>
    <w:p w14:paraId="0803D018">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本项目运营商需提供接入机制，通过短信接口与陕西省教育考试院相关业务系统对接，实现丰富的短信业务应用功能可供各部门群发/接收短消息，包括对内发送通知、提醒、告知等信息，对外发送考生成绩、各类业务反馈信息、通知、提醒、告知等信息，实现宣传、通信等相关业务的大批量短信发送，同时对短信接入业务集中管理、集中监控。</w:t>
      </w:r>
    </w:p>
    <w:p w14:paraId="07A78E03">
      <w:pPr>
        <w:keepNext w:val="0"/>
        <w:keepLines w:val="0"/>
        <w:pageBreakBefore w:val="0"/>
        <w:widowControl w:val="0"/>
        <w:tabs>
          <w:tab w:val="left" w:pos="7481"/>
        </w:tabs>
        <w:kinsoku/>
        <w:wordWrap/>
        <w:overflowPunct/>
        <w:topLinePunct w:val="0"/>
        <w:autoSpaceDE/>
        <w:autoSpaceDN/>
        <w:bidi w:val="0"/>
        <w:spacing w:line="460" w:lineRule="exact"/>
        <w:jc w:val="left"/>
        <w:rPr>
          <w:rFonts w:hint="eastAsia" w:ascii="宋体" w:hAnsi="宋体" w:eastAsia="宋体" w:cs="宋体"/>
          <w:b/>
          <w:sz w:val="24"/>
          <w:szCs w:val="24"/>
        </w:rPr>
      </w:pPr>
      <w:r>
        <w:rPr>
          <w:rFonts w:hint="eastAsia" w:ascii="宋体" w:hAnsi="宋体" w:eastAsia="宋体" w:cs="宋体"/>
          <w:b/>
          <w:sz w:val="24"/>
          <w:szCs w:val="24"/>
        </w:rPr>
        <w:t>二、项目内容及要求</w:t>
      </w:r>
      <w:r>
        <w:rPr>
          <w:rFonts w:hint="eastAsia" w:ascii="宋体" w:hAnsi="宋体" w:eastAsia="宋体" w:cs="宋体"/>
          <w:b/>
          <w:sz w:val="24"/>
          <w:szCs w:val="24"/>
        </w:rPr>
        <w:tab/>
      </w:r>
    </w:p>
    <w:p w14:paraId="5BDAE293">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必须实现国内运营商全网用户群发，实现全网统一接入号和全网信息上行回复及发送状态反馈。全年发送不低于800万条，</w:t>
      </w:r>
      <w:r>
        <w:rPr>
          <w:rFonts w:hint="eastAsia" w:ascii="宋体" w:hAnsi="宋体" w:eastAsia="宋体" w:cs="宋体"/>
          <w:color w:val="000000" w:themeColor="text1"/>
          <w:sz w:val="24"/>
          <w:szCs w:val="24"/>
          <w:highlight w:val="none"/>
          <w14:textFill>
            <w14:solidFill>
              <w14:schemeClr w14:val="tx1"/>
            </w14:solidFill>
          </w14:textFill>
        </w:rPr>
        <w:t>超出部分由供应商支付</w:t>
      </w:r>
      <w:r>
        <w:rPr>
          <w:rFonts w:hint="eastAsia" w:ascii="宋体" w:hAnsi="宋体" w:eastAsia="宋体" w:cs="宋体"/>
          <w:sz w:val="24"/>
          <w:szCs w:val="24"/>
        </w:rPr>
        <w:t>。日发送量最高上限不超过通管局要求，但不得低于每日/50万条，如需特殊审批由运营商自行解决。三网接入号配置考试院专属独立的接入号，发送外显号码有且只为8位短码10639000，实现三家运营商畅通到达。短信发送频率，应达到或高于500条/秒，实现24小时不间断发送。运营商提供一条短信发送专线及配套软硬件（硬件设备含各类配套设备、配件及模块，软件无任何授权限制）。</w:t>
      </w:r>
    </w:p>
    <w:p w14:paraId="321D1CF1">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实现长短信功能，应实现多条信息长度的长短信，即最大单条信息实现多字，避免出现“第/页”的较差用户体验情况。</w:t>
      </w:r>
    </w:p>
    <w:p w14:paraId="7E09CBAF">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从短信网关发送短信到用户手机延迟小于等于2秒；短信发送成功率剔除无效号码外需达到100%。</w:t>
      </w:r>
    </w:p>
    <w:p w14:paraId="2E1B6844">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提供短信发送接口标准，提供短信发送技术支撑服务，API文档，主流程序demo（Javc,C#,php,.net等）。提供关键词、敏感词等免审核机制，避免涉及敏感词的短信息遭拦截无法发送。</w:t>
      </w:r>
    </w:p>
    <w:p w14:paraId="22FCC115">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及时更新新号段，对发送失败的短信，如果是通道原因，需要进行补发，如是手机终端原因的，则不需要进行对失败的短信进行补发。</w:t>
      </w:r>
    </w:p>
    <w:p w14:paraId="124434EA">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为提高短信平台可用性和降低重保时期故障率，运营商将在重要通信保障期间禁止一切影响业务运行的割接、升级、打补丁、加载等操作，禁止一切影响业务运行局数据修改、网络优化等操作。</w:t>
      </w:r>
    </w:p>
    <w:p w14:paraId="7BA4DA8C">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运营商将针对重点保障期间的专线服务安排专人重点保障，以确保保障期间各类业务正常运行。</w:t>
      </w:r>
    </w:p>
    <w:p w14:paraId="4B94AD50">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对于发送不成功的手机号码，短信平台须有多次重发机制，可由用户选择定制手动发送和平台自动发送，同时平台应存储详细的发送日志，短信平台可按照发送日志相关代码（相关代码包括但不限于手机号码、发送成功代码、错误代码等）进行查询并导出，并将最终的发送报告发送至考试院指定手机号码。如有漏发信息，相关责任由运营商承担。短信发送超出部分由成交单位承担。</w:t>
      </w:r>
    </w:p>
    <w:p w14:paraId="7871C58F">
      <w:pPr>
        <w:keepNext w:val="0"/>
        <w:keepLines w:val="0"/>
        <w:pageBreakBefore w:val="0"/>
        <w:widowControl w:val="0"/>
        <w:tabs>
          <w:tab w:val="left" w:pos="7481"/>
        </w:tabs>
        <w:kinsoku/>
        <w:wordWrap/>
        <w:overflowPunct/>
        <w:topLinePunct w:val="0"/>
        <w:autoSpaceDE/>
        <w:autoSpaceDN/>
        <w:bidi w:val="0"/>
        <w:spacing w:line="460" w:lineRule="exact"/>
        <w:jc w:val="left"/>
        <w:rPr>
          <w:rFonts w:hint="eastAsia" w:ascii="宋体" w:hAnsi="宋体" w:eastAsia="宋体" w:cs="宋体"/>
          <w:b/>
          <w:sz w:val="24"/>
          <w:szCs w:val="24"/>
        </w:rPr>
      </w:pPr>
      <w:r>
        <w:rPr>
          <w:rFonts w:hint="eastAsia" w:ascii="宋体" w:hAnsi="宋体" w:eastAsia="宋体" w:cs="宋体"/>
          <w:b/>
          <w:sz w:val="24"/>
          <w:szCs w:val="24"/>
        </w:rPr>
        <w:t>三、售后服务及服务时间</w:t>
      </w:r>
    </w:p>
    <w:p w14:paraId="67179F3E">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提供针对本项目的运营商客户经理、技术接口人的联系清单。完整可靠的售后服务方案。每季度短信发送量分析清单。自成交公告之日起3天内完成短信平台搭建。服务时间为一年。</w:t>
      </w:r>
    </w:p>
    <w:p w14:paraId="032547D7">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sz w:val="24"/>
          <w:szCs w:val="24"/>
        </w:rPr>
      </w:pPr>
      <w:r>
        <w:rPr>
          <w:rFonts w:hint="eastAsia" w:ascii="宋体" w:hAnsi="宋体" w:eastAsia="宋体" w:cs="宋体"/>
          <w:b/>
          <w:sz w:val="24"/>
          <w:szCs w:val="24"/>
        </w:rPr>
        <w:t>四、能力要求</w:t>
      </w:r>
    </w:p>
    <w:p w14:paraId="574BF6AE">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供应商必须具有基础电信业务经营许可证。供应商在响应文件中要有项目管理方案、质量体系保证及质量承诺、组织实施方案。。</w:t>
      </w:r>
    </w:p>
    <w:p w14:paraId="6D68D1EB">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sz w:val="24"/>
          <w:szCs w:val="24"/>
        </w:rPr>
      </w:pPr>
      <w:r>
        <w:rPr>
          <w:rFonts w:hint="eastAsia" w:ascii="宋体" w:hAnsi="宋体" w:eastAsia="宋体" w:cs="宋体"/>
          <w:b/>
          <w:sz w:val="24"/>
          <w:szCs w:val="24"/>
        </w:rPr>
        <w:t>五、运维服务考评标准：</w:t>
      </w:r>
    </w:p>
    <w:p w14:paraId="72883F66">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合同期内，考评分值达到90分（含）以上，乙方获得全部考核款；70分以下考核款全部扣除，70分-90分之间按扣分情况获得考核款，每扣除1分则扣除考核款总额的0.5%扣完为止。</w:t>
      </w:r>
    </w:p>
    <w:tbl>
      <w:tblPr>
        <w:tblStyle w:val="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5"/>
        <w:gridCol w:w="1083"/>
        <w:gridCol w:w="3992"/>
        <w:gridCol w:w="2615"/>
      </w:tblGrid>
      <w:tr w14:paraId="33617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484" w:type="pct"/>
            <w:vAlign w:val="center"/>
          </w:tcPr>
          <w:p w14:paraId="7498ED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0"/>
                <w:szCs w:val="20"/>
              </w:rPr>
            </w:pPr>
            <w:r>
              <w:rPr>
                <w:rFonts w:hint="eastAsia" w:ascii="宋体" w:hAnsi="宋体" w:eastAsia="宋体" w:cs="宋体"/>
                <w:sz w:val="20"/>
                <w:szCs w:val="20"/>
              </w:rPr>
              <w:t>考评元素一级</w:t>
            </w:r>
          </w:p>
        </w:tc>
        <w:tc>
          <w:tcPr>
            <w:tcW w:w="636" w:type="pct"/>
            <w:vAlign w:val="center"/>
          </w:tcPr>
          <w:p w14:paraId="158E626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0"/>
                <w:szCs w:val="20"/>
              </w:rPr>
            </w:pPr>
            <w:r>
              <w:rPr>
                <w:rFonts w:hint="eastAsia" w:ascii="宋体" w:hAnsi="宋体" w:eastAsia="宋体" w:cs="宋体"/>
                <w:sz w:val="20"/>
                <w:szCs w:val="20"/>
              </w:rPr>
              <w:t>考评元素二级</w:t>
            </w:r>
          </w:p>
        </w:tc>
        <w:tc>
          <w:tcPr>
            <w:tcW w:w="2343" w:type="pct"/>
            <w:vAlign w:val="center"/>
          </w:tcPr>
          <w:p w14:paraId="0852D53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0"/>
                <w:szCs w:val="20"/>
              </w:rPr>
            </w:pPr>
            <w:r>
              <w:rPr>
                <w:rFonts w:hint="eastAsia" w:ascii="宋体" w:hAnsi="宋体" w:eastAsia="宋体" w:cs="宋体"/>
                <w:sz w:val="20"/>
                <w:szCs w:val="20"/>
              </w:rPr>
              <w:t>指标说明</w:t>
            </w:r>
          </w:p>
        </w:tc>
        <w:tc>
          <w:tcPr>
            <w:tcW w:w="1535" w:type="pct"/>
            <w:vAlign w:val="center"/>
          </w:tcPr>
          <w:p w14:paraId="7DDCD4E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0"/>
                <w:szCs w:val="20"/>
              </w:rPr>
            </w:pPr>
            <w:r>
              <w:rPr>
                <w:rFonts w:hint="eastAsia" w:ascii="宋体" w:hAnsi="宋体" w:eastAsia="宋体" w:cs="宋体"/>
                <w:sz w:val="20"/>
                <w:szCs w:val="20"/>
              </w:rPr>
              <w:t>打分标准</w:t>
            </w:r>
          </w:p>
        </w:tc>
      </w:tr>
      <w:tr w14:paraId="2AF11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8" w:hRule="atLeast"/>
          <w:jc w:val="center"/>
        </w:trPr>
        <w:tc>
          <w:tcPr>
            <w:tcW w:w="484" w:type="pct"/>
            <w:vMerge w:val="restart"/>
            <w:vAlign w:val="center"/>
          </w:tcPr>
          <w:p w14:paraId="697B834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人员组织管理</w:t>
            </w:r>
          </w:p>
        </w:tc>
        <w:tc>
          <w:tcPr>
            <w:tcW w:w="636" w:type="pct"/>
            <w:vAlign w:val="center"/>
          </w:tcPr>
          <w:p w14:paraId="41B50AE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资源投入</w:t>
            </w:r>
          </w:p>
        </w:tc>
        <w:tc>
          <w:tcPr>
            <w:tcW w:w="2343" w:type="pct"/>
            <w:vAlign w:val="center"/>
          </w:tcPr>
          <w:p w14:paraId="7D6643A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各阶段的参与人员全程全职参与项目工作。如需对本项目投入人员进行变更，应提前两周书面通知甲方负责人并经同意后在变更前补充相应数量、资质的人员。</w:t>
            </w:r>
            <w:r>
              <w:rPr>
                <w:rFonts w:hint="eastAsia" w:ascii="宋体" w:hAnsi="宋体" w:eastAsia="宋体" w:cs="宋体"/>
                <w:sz w:val="20"/>
                <w:szCs w:val="20"/>
              </w:rPr>
              <w:br w:type="textWrapping" w:clear="all"/>
            </w:r>
            <w:r>
              <w:rPr>
                <w:rFonts w:hint="eastAsia" w:ascii="宋体" w:hAnsi="宋体" w:eastAsia="宋体" w:cs="宋体"/>
                <w:sz w:val="20"/>
                <w:szCs w:val="20"/>
              </w:rPr>
              <w:t>变更主要包括：撤离、更换、辞退。</w:t>
            </w:r>
          </w:p>
        </w:tc>
        <w:tc>
          <w:tcPr>
            <w:tcW w:w="1535" w:type="pct"/>
            <w:vAlign w:val="center"/>
          </w:tcPr>
          <w:p w14:paraId="1B9CB928">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1、未按照合同规定投入、更换人员，扣1-3分</w:t>
            </w:r>
            <w:r>
              <w:rPr>
                <w:rFonts w:hint="eastAsia" w:ascii="宋体" w:hAnsi="宋体" w:eastAsia="宋体" w:cs="宋体"/>
                <w:sz w:val="20"/>
                <w:szCs w:val="20"/>
              </w:rPr>
              <w:br w:type="textWrapping" w:clear="all"/>
            </w:r>
            <w:r>
              <w:rPr>
                <w:rFonts w:hint="eastAsia" w:ascii="宋体" w:hAnsi="宋体" w:eastAsia="宋体" w:cs="宋体"/>
                <w:sz w:val="20"/>
                <w:szCs w:val="20"/>
              </w:rPr>
              <w:t>2、核心人员每流失一人，扣1-3分</w:t>
            </w:r>
          </w:p>
        </w:tc>
      </w:tr>
      <w:tr w14:paraId="08E95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484" w:type="pct"/>
            <w:vMerge w:val="continue"/>
            <w:vAlign w:val="center"/>
          </w:tcPr>
          <w:p w14:paraId="1FBA9E3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p>
        </w:tc>
        <w:tc>
          <w:tcPr>
            <w:tcW w:w="636" w:type="pct"/>
            <w:vAlign w:val="center"/>
          </w:tcPr>
          <w:p w14:paraId="4FE5DE6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人员能力</w:t>
            </w:r>
          </w:p>
        </w:tc>
        <w:tc>
          <w:tcPr>
            <w:tcW w:w="2343" w:type="pct"/>
            <w:vAlign w:val="center"/>
          </w:tcPr>
          <w:p w14:paraId="1DAA19E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应保证参与本项目人员的技术能力和水平满足他所从事的工作的要求。</w:t>
            </w:r>
          </w:p>
        </w:tc>
        <w:tc>
          <w:tcPr>
            <w:tcW w:w="1535" w:type="pct"/>
            <w:vAlign w:val="center"/>
          </w:tcPr>
          <w:p w14:paraId="3B12734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每出现一人未能达到要求则扣1-3分</w:t>
            </w:r>
          </w:p>
        </w:tc>
      </w:tr>
      <w:tr w14:paraId="20765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484" w:type="pct"/>
            <w:vMerge w:val="continue"/>
            <w:vAlign w:val="center"/>
          </w:tcPr>
          <w:p w14:paraId="19A84D7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p>
        </w:tc>
        <w:tc>
          <w:tcPr>
            <w:tcW w:w="636" w:type="pct"/>
            <w:vAlign w:val="center"/>
          </w:tcPr>
          <w:p w14:paraId="7832C27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团队管理</w:t>
            </w:r>
          </w:p>
        </w:tc>
        <w:tc>
          <w:tcPr>
            <w:tcW w:w="2343" w:type="pct"/>
            <w:vAlign w:val="center"/>
          </w:tcPr>
          <w:p w14:paraId="5EF6C5B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项目团队有效管理，资源落实到位，项目角色和职责定义清晰。</w:t>
            </w:r>
            <w:r>
              <w:rPr>
                <w:rFonts w:hint="eastAsia" w:ascii="宋体" w:hAnsi="宋体" w:eastAsia="宋体" w:cs="宋体"/>
                <w:sz w:val="20"/>
                <w:szCs w:val="20"/>
              </w:rPr>
              <w:br w:type="textWrapping" w:clear="all"/>
            </w:r>
            <w:r>
              <w:rPr>
                <w:rFonts w:hint="eastAsia" w:ascii="宋体" w:hAnsi="宋体" w:eastAsia="宋体" w:cs="宋体"/>
                <w:sz w:val="20"/>
                <w:szCs w:val="20"/>
              </w:rPr>
              <w:t>项目人员应严格遵循甲方单位的相关工作及管理规范。</w:t>
            </w:r>
          </w:p>
        </w:tc>
        <w:tc>
          <w:tcPr>
            <w:tcW w:w="1535" w:type="pct"/>
            <w:vAlign w:val="center"/>
          </w:tcPr>
          <w:p w14:paraId="1B0B5DC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1、出现项目资源组织混乱，职责不明、相互推诿的情况，每出现一次扣2分</w:t>
            </w:r>
            <w:r>
              <w:rPr>
                <w:rFonts w:hint="eastAsia" w:ascii="宋体" w:hAnsi="宋体" w:eastAsia="宋体" w:cs="宋体"/>
                <w:sz w:val="20"/>
                <w:szCs w:val="20"/>
              </w:rPr>
              <w:br w:type="textWrapping" w:clear="all"/>
            </w:r>
            <w:r>
              <w:rPr>
                <w:rFonts w:hint="eastAsia" w:ascii="宋体" w:hAnsi="宋体" w:eastAsia="宋体" w:cs="宋体"/>
                <w:sz w:val="20"/>
                <w:szCs w:val="20"/>
              </w:rPr>
              <w:t>2、在服务周期内如出现人员未遵循规范，每出现一次视情节严重程度扣1-3分</w:t>
            </w:r>
          </w:p>
        </w:tc>
      </w:tr>
      <w:tr w14:paraId="48D38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2" w:hRule="atLeast"/>
          <w:jc w:val="center"/>
        </w:trPr>
        <w:tc>
          <w:tcPr>
            <w:tcW w:w="484" w:type="pct"/>
            <w:vMerge w:val="restart"/>
            <w:vAlign w:val="center"/>
          </w:tcPr>
          <w:p w14:paraId="2422A62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工作质量保障</w:t>
            </w:r>
          </w:p>
        </w:tc>
        <w:tc>
          <w:tcPr>
            <w:tcW w:w="636" w:type="pct"/>
            <w:vAlign w:val="center"/>
          </w:tcPr>
          <w:p w14:paraId="65DC99B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交流沟通</w:t>
            </w:r>
          </w:p>
        </w:tc>
        <w:tc>
          <w:tcPr>
            <w:tcW w:w="2343" w:type="pct"/>
            <w:vAlign w:val="center"/>
          </w:tcPr>
          <w:p w14:paraId="4B575CA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项目沟通顺畅，报告文档及时、完整有效。</w:t>
            </w:r>
          </w:p>
        </w:tc>
        <w:tc>
          <w:tcPr>
            <w:tcW w:w="1535" w:type="pct"/>
            <w:vAlign w:val="center"/>
          </w:tcPr>
          <w:p w14:paraId="04AB69C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未及时汇报工作情况，或内容不完整或延误，根据严重情况扣1-3分</w:t>
            </w:r>
          </w:p>
        </w:tc>
      </w:tr>
      <w:tr w14:paraId="7D3BE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jc w:val="center"/>
        </w:trPr>
        <w:tc>
          <w:tcPr>
            <w:tcW w:w="484" w:type="pct"/>
            <w:vMerge w:val="continue"/>
            <w:vAlign w:val="center"/>
          </w:tcPr>
          <w:p w14:paraId="2E1F4DF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p>
        </w:tc>
        <w:tc>
          <w:tcPr>
            <w:tcW w:w="636" w:type="pct"/>
            <w:vAlign w:val="center"/>
          </w:tcPr>
          <w:p w14:paraId="2728E0C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文档质量</w:t>
            </w:r>
          </w:p>
        </w:tc>
        <w:tc>
          <w:tcPr>
            <w:tcW w:w="2343" w:type="pct"/>
            <w:vAlign w:val="center"/>
          </w:tcPr>
          <w:p w14:paraId="7FD8F178">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文档必须完整，并必须按照甲方标准书写</w:t>
            </w:r>
          </w:p>
        </w:tc>
        <w:tc>
          <w:tcPr>
            <w:tcW w:w="1535" w:type="pct"/>
            <w:vAlign w:val="center"/>
          </w:tcPr>
          <w:p w14:paraId="7721E40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每次发生项目文档不规范或不完整，扣1-3分</w:t>
            </w:r>
          </w:p>
        </w:tc>
      </w:tr>
      <w:tr w14:paraId="5B9EC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jc w:val="center"/>
        </w:trPr>
        <w:tc>
          <w:tcPr>
            <w:tcW w:w="484" w:type="pct"/>
            <w:vMerge w:val="continue"/>
            <w:vAlign w:val="center"/>
          </w:tcPr>
          <w:p w14:paraId="0E1B4D6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p>
        </w:tc>
        <w:tc>
          <w:tcPr>
            <w:tcW w:w="636" w:type="pct"/>
            <w:vAlign w:val="center"/>
          </w:tcPr>
          <w:p w14:paraId="53A5BC3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服务的及时有效性</w:t>
            </w:r>
          </w:p>
        </w:tc>
        <w:tc>
          <w:tcPr>
            <w:tcW w:w="2343" w:type="pct"/>
            <w:vAlign w:val="center"/>
          </w:tcPr>
          <w:p w14:paraId="6E8747E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乙方项目经理针对甲方提出的意见及建议予以及时反馈；</w:t>
            </w:r>
          </w:p>
          <w:p w14:paraId="65E9CB4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提供准确有效的专网运行状态监控。</w:t>
            </w:r>
          </w:p>
        </w:tc>
        <w:tc>
          <w:tcPr>
            <w:tcW w:w="1535" w:type="pct"/>
            <w:vAlign w:val="center"/>
          </w:tcPr>
          <w:p w14:paraId="0BD7563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每次发生重大问题反馈不及时或不准确，扣1-3分</w:t>
            </w:r>
          </w:p>
        </w:tc>
      </w:tr>
      <w:tr w14:paraId="318D7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484" w:type="pct"/>
            <w:vMerge w:val="continue"/>
            <w:vAlign w:val="center"/>
          </w:tcPr>
          <w:p w14:paraId="5CD9AA9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p>
        </w:tc>
        <w:tc>
          <w:tcPr>
            <w:tcW w:w="636" w:type="pct"/>
            <w:vAlign w:val="center"/>
          </w:tcPr>
          <w:p w14:paraId="0F31C26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线路质量</w:t>
            </w:r>
          </w:p>
        </w:tc>
        <w:tc>
          <w:tcPr>
            <w:tcW w:w="2343" w:type="pct"/>
            <w:vAlign w:val="center"/>
          </w:tcPr>
          <w:p w14:paraId="0EFC112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确定因短信专网线路中断造成业务中断的情况；</w:t>
            </w:r>
          </w:p>
        </w:tc>
        <w:tc>
          <w:tcPr>
            <w:tcW w:w="1535" w:type="pct"/>
            <w:vAlign w:val="center"/>
          </w:tcPr>
          <w:p w14:paraId="0FB0E6B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1、设备故障，短信息无法发送，2小时内未排除，扣2分；4小时内未排除，扣5分。</w:t>
            </w:r>
          </w:p>
          <w:p w14:paraId="22DF4B9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2、专网线路故障，短信息无法发送，2小时内未排除，扣2分；4小时内未排除，扣5分。</w:t>
            </w:r>
          </w:p>
          <w:p w14:paraId="1CDD430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3、24小时内未排除故障，扣10分。</w:t>
            </w:r>
          </w:p>
          <w:p w14:paraId="13F9105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4、重要节点期间，专网线路、设备故障导致短信息无法发送，扣15分.</w:t>
            </w:r>
          </w:p>
        </w:tc>
      </w:tr>
      <w:tr w14:paraId="63E70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jc w:val="center"/>
        </w:trPr>
        <w:tc>
          <w:tcPr>
            <w:tcW w:w="484" w:type="pct"/>
            <w:vAlign w:val="center"/>
          </w:tcPr>
          <w:p w14:paraId="0A6DEB2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服务质量保障</w:t>
            </w:r>
          </w:p>
        </w:tc>
        <w:tc>
          <w:tcPr>
            <w:tcW w:w="636" w:type="pct"/>
            <w:vAlign w:val="center"/>
          </w:tcPr>
          <w:p w14:paraId="70A112C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服务态度</w:t>
            </w:r>
          </w:p>
        </w:tc>
        <w:tc>
          <w:tcPr>
            <w:tcW w:w="2343" w:type="pct"/>
            <w:vAlign w:val="center"/>
          </w:tcPr>
          <w:p w14:paraId="4F51982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服务态度良好，及时响应，提交的服务报告规范有效，能积极配合完成相关工作。</w:t>
            </w:r>
          </w:p>
        </w:tc>
        <w:tc>
          <w:tcPr>
            <w:tcW w:w="1535" w:type="pct"/>
            <w:vAlign w:val="center"/>
          </w:tcPr>
          <w:p w14:paraId="6CE1967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每出现一次服务态度不佳、工作配合不力的投诉，根据严重情况扣1-3分</w:t>
            </w:r>
          </w:p>
        </w:tc>
      </w:tr>
    </w:tbl>
    <w:p w14:paraId="7ED6CF5E">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161659"/>
    <w:rsid w:val="2E161659"/>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autoSpaceDN/>
      <w:snapToGrid/>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2026-05-21T06:51:00Z</dcterms:created>
  <dc:creator>123</dc:creator>
  <cp:lastModifiedBy>123</cp:lastModifiedBy>
  <dcterms:modified xsi:type="dcterms:W3CDTF">2026-05-21T06:53:14Z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473C79D327A84125B9993C40EBFF5084_11</vt:lpwstr>
  </property>
  <property fmtid="{D5CDD505-2E9C-101B-9397-08002B2CF9AE}" pid="4" name="KSOTemplateDocerSaveRecord">
    <vt:lpwstr>eyJoZGlkIjoiYWM1MjY1MDU1MTQ4NWRkYTVkYjYzZDFhNzAxYzQ5MWMiLCJ1c2VySWQiOiI0NTE5NDQwNTQifQ==</vt:lpwstr>
  </property>
</Properties>
</file>