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版本号：DZDL-2026-02520260612001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2026年三校区部分学生公寓及公共区域粉刷修缮项目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DZDL-2026-025</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2026年三校区部分学生公寓及公共区域粉刷修缮项目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DZDL-2026-025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2026年三校区部分学生公寓及公共区域粉刷修缮项目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拟对三校区部分学生公寓及公共区域粉刷修缮。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采购包1（三校区部分学生公寓及公共区域粉刷修缮项目）：属于专门面向中小企业采购。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5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4、社会保障资金缴纳证明：提供2025年5月以来至少一个月的社会保障资金缴存单据或社保机构开具的社会保险参保缴费情况证明。依法不需要缴纳社会保障资金的供应商应提供相关文件证明。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法定代表人参加磋商的，须出示身份证；法定代表人授权他人参加磋商的，须提供法定代表人授权委托书、被授权人提交自2025年1月1日以来任意一个月的社会保障资金的缴纳证明或有效期内的劳动合同及被授权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8、中小企业声明函：本项目专门面向中小企业采购，供应商应为中小微企业或监狱企业或残疾人福利性单位。</w:t>
      </w:r>
    </w:p>
    <w:p>
      <w:pPr>
        <w:pStyle w:val="null3"/>
      </w:pPr>
      <w:r>
        <w:rPr>
          <w:rFonts w:ascii="仿宋_GB2312" w:hAnsi="仿宋_GB2312" w:cs="仿宋_GB2312" w:eastAsia="仿宋_GB2312"/>
        </w:rPr>
        <w:t>9、施工资质：供应商具备建筑工程施工总承包三级（含三级）及以上资质或建筑装修装饰工程专业承包二级（含二级）及以上资质，并提供有效的安全生产许可证。并在人员、设备、资金等方面具备相应施工能力且无不良记录。</w:t>
      </w:r>
    </w:p>
    <w:p>
      <w:pPr>
        <w:pStyle w:val="null3"/>
      </w:pPr>
      <w:r>
        <w:rPr>
          <w:rFonts w:ascii="仿宋_GB2312" w:hAnsi="仿宋_GB2312" w:cs="仿宋_GB2312" w:eastAsia="仿宋_GB2312"/>
        </w:rPr>
        <w:t>10、项目经理资格：拟派项目经理需具有建筑工程专业二级及以上注册建造师证书（含二级），有效的安全生产考核合格证书（建安B证），且无在建工程（提供无在建工程承诺书）。</w:t>
      </w:r>
    </w:p>
    <w:p>
      <w:pPr>
        <w:pStyle w:val="null3"/>
      </w:pPr>
      <w:r>
        <w:rPr>
          <w:rFonts w:ascii="仿宋_GB2312" w:hAnsi="仿宋_GB2312" w:cs="仿宋_GB2312" w:eastAsia="仿宋_GB2312"/>
        </w:rPr>
        <w:t>11、陕西省住房和城乡建设厅可查询：提供陕西省住房和城乡建设厅（https://js.shaanxi.gov.cn）《陕西省建筑市场监管与诚信信息发布平台》企业和拟派项目经理查询截图；外省进陕企业需提供陕西省住房和城乡建设厅官网企业库外省进陕企业信息首页截图。</w:t>
      </w:r>
    </w:p>
    <w:p>
      <w:pPr>
        <w:pStyle w:val="null3"/>
      </w:pPr>
      <w:r>
        <w:rPr>
          <w:rFonts w:ascii="仿宋_GB2312" w:hAnsi="仿宋_GB2312" w:cs="仿宋_GB2312" w:eastAsia="仿宋_GB2312"/>
        </w:rPr>
        <w:t>12、本项目不接受联合体投标：非联合体投标声明。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邹娟、张睿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13649282132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开户名称：鼎正众创建设集团有限公司</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银行账号：61001925700052502502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代理服务费收费标准：成交供应商应向采购代理机构交纳招标代理服务费。采购代理服务费参照国家计委颁布的《招标代理服务收费管理暂行办法》（计价格[2002]1980 号）号文件收费标准的90%收取。预算金额30万元（含）及以下项目按标准收取，招标代理服务费在领取成交通知书时一次性交纳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联系人：邹娟、张睿</w:t>
      </w:r>
    </w:p>
    <w:p>
      <w:pPr>
        <w:pStyle w:val="null3"/>
      </w:pPr>
      <w:r>
        <w:rPr>
          <w:rFonts w:ascii="仿宋_GB2312" w:hAnsi="仿宋_GB2312" w:cs="仿宋_GB2312" w:eastAsia="仿宋_GB2312"/>
        </w:rPr>
        <w:t>联系电话：13649282132</w:t>
      </w:r>
    </w:p>
    <w:p>
      <w:pPr>
        <w:pStyle w:val="null3"/>
      </w:pPr>
      <w:r>
        <w:rPr>
          <w:rFonts w:ascii="仿宋_GB2312" w:hAnsi="仿宋_GB2312" w:cs="仿宋_GB2312" w:eastAsia="仿宋_GB2312"/>
        </w:rPr>
        <w:t>地址：西安市科技路48号创业广场B座1506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344,551.11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2026年三校区部分学生公寓及公共区域粉刷修缮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标的名称：2026年三校区部分学生公寓及公共区域粉刷修缮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工程名称：西安石油大学</w:t>
            </w:r>
            <w:r>
              <w:rPr>
                <w:rFonts w:ascii="仿宋_GB2312" w:hAnsi="仿宋_GB2312" w:cs="仿宋_GB2312" w:eastAsia="仿宋_GB2312"/>
              </w:rPr>
              <w:t>三校区部分学生公寓及公共区域粉刷修缮项目</w:t>
            </w:r>
          </w:p>
          <w:p>
            <w:pPr>
              <w:pStyle w:val="null3"/>
            </w:pPr>
            <w:r>
              <w:rPr>
                <w:rFonts w:ascii="仿宋_GB2312" w:hAnsi="仿宋_GB2312" w:cs="仿宋_GB2312" w:eastAsia="仿宋_GB2312"/>
              </w:rPr>
              <w:t>工程地点：西安石油大学雁塔校区、明德校区、鄠邑校区</w:t>
            </w:r>
          </w:p>
          <w:p>
            <w:pPr>
              <w:pStyle w:val="null3"/>
            </w:pPr>
            <w:r>
              <w:rPr>
                <w:rFonts w:ascii="仿宋_GB2312" w:hAnsi="仿宋_GB2312" w:cs="仿宋_GB2312" w:eastAsia="仿宋_GB2312"/>
              </w:rPr>
              <w:t>二、工程承包范围</w:t>
            </w:r>
          </w:p>
          <w:p>
            <w:pPr>
              <w:pStyle w:val="null3"/>
            </w:pPr>
            <w:r>
              <w:rPr>
                <w:rFonts w:ascii="仿宋_GB2312" w:hAnsi="仿宋_GB2312" w:cs="仿宋_GB2312" w:eastAsia="仿宋_GB2312"/>
              </w:rPr>
              <w:t>详见工程量清单。</w:t>
            </w:r>
          </w:p>
          <w:p>
            <w:pPr>
              <w:pStyle w:val="null3"/>
            </w:pPr>
            <w:r>
              <w:rPr>
                <w:rFonts w:ascii="仿宋_GB2312" w:hAnsi="仿宋_GB2312" w:cs="仿宋_GB2312" w:eastAsia="仿宋_GB2312"/>
              </w:rPr>
              <w:t>三、施工要求</w:t>
            </w:r>
          </w:p>
          <w:p>
            <w:pPr>
              <w:pStyle w:val="null3"/>
            </w:pPr>
            <w:r>
              <w:rPr>
                <w:rFonts w:ascii="仿宋_GB2312" w:hAnsi="仿宋_GB2312" w:cs="仿宋_GB2312" w:eastAsia="仿宋_GB2312"/>
              </w:rPr>
              <w:t>1</w:t>
            </w:r>
            <w:r>
              <w:rPr>
                <w:rFonts w:ascii="仿宋_GB2312" w:hAnsi="仿宋_GB2312" w:cs="仿宋_GB2312" w:eastAsia="仿宋_GB2312"/>
              </w:rPr>
              <w:t>、制订详细、科学安全的的施工方案，不得野蛮施工、不得对房屋主体及别的设施造成损害。</w:t>
            </w:r>
          </w:p>
          <w:p>
            <w:pPr>
              <w:pStyle w:val="null3"/>
            </w:pPr>
            <w:r>
              <w:rPr>
                <w:rFonts w:ascii="仿宋_GB2312" w:hAnsi="仿宋_GB2312" w:cs="仿宋_GB2312" w:eastAsia="仿宋_GB2312"/>
              </w:rPr>
              <w:t>2</w:t>
            </w:r>
            <w:r>
              <w:rPr>
                <w:rFonts w:ascii="仿宋_GB2312" w:hAnsi="仿宋_GB2312" w:cs="仿宋_GB2312" w:eastAsia="仿宋_GB2312"/>
              </w:rPr>
              <w:t>、施工中保护好作业区内水、电、气、暖等管道设施。</w:t>
            </w:r>
          </w:p>
          <w:p>
            <w:pPr>
              <w:pStyle w:val="null3"/>
            </w:pPr>
            <w:r>
              <w:rPr>
                <w:rFonts w:ascii="仿宋_GB2312" w:hAnsi="仿宋_GB2312" w:cs="仿宋_GB2312" w:eastAsia="仿宋_GB2312"/>
              </w:rPr>
              <w:t>3</w:t>
            </w:r>
            <w:r>
              <w:rPr>
                <w:rFonts w:ascii="仿宋_GB2312" w:hAnsi="仿宋_GB2312" w:cs="仿宋_GB2312" w:eastAsia="仿宋_GB2312"/>
              </w:rPr>
              <w:t>、及时清运施工垃圾，做好环境卫生保护工作。</w:t>
            </w:r>
          </w:p>
          <w:p>
            <w:pPr>
              <w:pStyle w:val="null3"/>
            </w:pPr>
            <w:r>
              <w:rPr>
                <w:rFonts w:ascii="仿宋_GB2312" w:hAnsi="仿宋_GB2312" w:cs="仿宋_GB2312" w:eastAsia="仿宋_GB2312"/>
              </w:rPr>
              <w:t>4</w:t>
            </w:r>
            <w:r>
              <w:rPr>
                <w:rFonts w:ascii="仿宋_GB2312" w:hAnsi="仿宋_GB2312" w:cs="仿宋_GB2312" w:eastAsia="仿宋_GB2312"/>
              </w:rPr>
              <w:t>、安全文明措施及防污减霾等要求要符合本市及学校的具体相关要求。</w:t>
            </w:r>
          </w:p>
          <w:p>
            <w:pPr>
              <w:pStyle w:val="null3"/>
            </w:pPr>
            <w:r>
              <w:rPr>
                <w:rFonts w:ascii="仿宋_GB2312" w:hAnsi="仿宋_GB2312" w:cs="仿宋_GB2312" w:eastAsia="仿宋_GB2312"/>
              </w:rPr>
              <w:t>四、合同工期</w:t>
            </w:r>
          </w:p>
          <w:p>
            <w:pPr>
              <w:pStyle w:val="null3"/>
            </w:pPr>
            <w:r>
              <w:rPr>
                <w:rFonts w:ascii="仿宋_GB2312" w:hAnsi="仿宋_GB2312" w:cs="仿宋_GB2312" w:eastAsia="仿宋_GB2312"/>
              </w:rPr>
              <w:t>总日历天数：</w:t>
            </w:r>
            <w:r>
              <w:rPr>
                <w:rFonts w:ascii="仿宋_GB2312" w:hAnsi="仿宋_GB2312" w:cs="仿宋_GB2312" w:eastAsia="仿宋_GB2312"/>
              </w:rPr>
              <w:t>30</w:t>
            </w:r>
            <w:r>
              <w:rPr>
                <w:rFonts w:ascii="仿宋_GB2312" w:hAnsi="仿宋_GB2312" w:cs="仿宋_GB2312" w:eastAsia="仿宋_GB2312"/>
              </w:rPr>
              <w:t>日历天。</w:t>
            </w:r>
          </w:p>
          <w:p>
            <w:pPr>
              <w:pStyle w:val="null3"/>
            </w:pPr>
            <w:r>
              <w:rPr>
                <w:rFonts w:ascii="仿宋_GB2312" w:hAnsi="仿宋_GB2312" w:cs="仿宋_GB2312" w:eastAsia="仿宋_GB2312"/>
              </w:rPr>
              <w:t>五、质保期</w:t>
            </w:r>
          </w:p>
          <w:p>
            <w:pPr>
              <w:pStyle w:val="null3"/>
            </w:pPr>
            <w:r>
              <w:rPr>
                <w:rFonts w:ascii="仿宋_GB2312" w:hAnsi="仿宋_GB2312" w:cs="仿宋_GB2312" w:eastAsia="仿宋_GB2312"/>
              </w:rPr>
              <w:t>二年。</w:t>
            </w:r>
          </w:p>
          <w:p>
            <w:pPr>
              <w:pStyle w:val="null3"/>
            </w:pPr>
            <w:r>
              <w:rPr>
                <w:rFonts w:ascii="仿宋_GB2312" w:hAnsi="仿宋_GB2312" w:cs="仿宋_GB2312" w:eastAsia="仿宋_GB2312"/>
              </w:rPr>
              <w:t>六、安全文明施工</w:t>
            </w:r>
          </w:p>
          <w:p>
            <w:pPr>
              <w:pStyle w:val="null3"/>
            </w:pPr>
            <w:r>
              <w:rPr>
                <w:rFonts w:ascii="仿宋_GB2312" w:hAnsi="仿宋_GB2312" w:cs="仿宋_GB2312" w:eastAsia="仿宋_GB2312"/>
              </w:rPr>
              <w:t>1</w:t>
            </w:r>
            <w:r>
              <w:rPr>
                <w:rFonts w:ascii="仿宋_GB2312" w:hAnsi="仿宋_GB2312" w:cs="仿宋_GB2312" w:eastAsia="仿宋_GB2312"/>
              </w:rPr>
              <w:t>、乙方应遵守工程建设安全生产有关规定，严格按照安全标准组织施工，并随时接受行业安全检查人员依法实施的监督检查，采取必要的安全防护措施，消除安全隐患，安全措施费由乙方承担。施工现场安全事故的责任和由此发生的费用均由乙方承担。</w:t>
            </w:r>
          </w:p>
          <w:p>
            <w:pPr>
              <w:pStyle w:val="null3"/>
            </w:pPr>
            <w:r>
              <w:rPr>
                <w:rFonts w:ascii="仿宋_GB2312" w:hAnsi="仿宋_GB2312" w:cs="仿宋_GB2312" w:eastAsia="仿宋_GB2312"/>
              </w:rPr>
              <w:t>2</w:t>
            </w:r>
            <w:r>
              <w:rPr>
                <w:rFonts w:ascii="仿宋_GB2312" w:hAnsi="仿宋_GB2312" w:cs="仿宋_GB2312" w:eastAsia="仿宋_GB2312"/>
              </w:rPr>
              <w:t>、符合《安全生产管理条例》的标准、道路、场地、绿化工程现行规范、西安市建筑工地环卫部门等要求；施工场地内无施工遗留物，垃圾清运干净。</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、乙方应遵守政府有关部门对施工场地交通、噪音以及环境保护和文明施工等地管理规定，按有关规定办理有关手续，上述费用由乙方承担。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1.本项目不得分包、转包。 2.供应商在竞争性磋商响应文件中承诺的项目负责人及相应资质的专业技术、安全管理人员未经采购人书面同意，承包人不得调换和撤离，并按工程进度及时到位。采购人有权要求施工单位撤换工作不负责任、管理不力、贻误工期和造成严重安全事故和违法乱纪的专业技术、安全管理人员。如项目负责人及相应资质的专业技术人员未按要求到位，视作违约，采购人有权按合同约定进行罚款直至单方面终止合同。 3.成交供应商须无条件接受甲方代表的现场检查和管理。 4.成交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 5.施工的建筑垃圾应清运至有关部门指定的地点，做到工完场清，不留死角。</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请供应商在交纳保证金时务必注明所参与项目的项目编号，否则，因款项用途不明导致报价无效等后果由供应商自行承担；磋商响应文件提交截止时间之后递交的磋商保证金将被拒绝。（2）工期：30日历天。（3）质保期：二年。（4）供应商可自行踏勘，联系人：任老师 029-81468012（5）付款方式：此工程无预付款，工程施工完毕，经采购人验收合格后，10个工作日内支付合同总价款的80%；经工程审计结算审核后10个工作日内，扣除结算金额1%的水电费，余款一次性支付。支付前，成交供应商应提供等额增值税专用发票。 承包人应按要求向发包人递交竣工结算报告及完整的结算资料，并对递交的报告及资料的完整性负全责。若出现漏报，损失由承包人承担。工程竣工验收合格，发包人在收到竣工结算报告及完整的结算资料后，按相关要求对承包人提供的竣工结算资料进行审计。发包人委托有资质的造价咨询机构进行审计，基本审计费由发包人承担，审减额在5%以内（含5%），发生的审核成果费由发包人承担；审减额5%以上的审核成果费由承包人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年度或2025年度经审计完整的财务审计报告（成立时间至提交响应文件截止时间不足一年的可提供成立后任意时段的资产负债表），或其开标前三个月内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须出示身份证；法定代表人授权他人参加磋商的，须提供法定代表人授权委托书、被授权人提交自2025年1月1日以来任意一个月的社会保障资金的缴纳证明或有效期内的劳动合同及被授权人身份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具备建筑工程施工总承包三级（含三级）及以上资质或建筑装修装饰工程专业承包二级（含二级）及以上资质，并提供有效的安全生产许可证。并在人员、设备、资金等方面具备相应施工能力且无不良记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拟派项目经理需具有建筑工程专业二级及以上注册建造师证书（含二级），有效的安全生产考核合格证书（建安B证），且无在建工程（提供无在建工程承诺书）。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陕西省住房和城乡建设厅可查询</w:t>
            </w:r>
          </w:p>
        </w:tc>
        <w:tc>
          <w:tcPr>
            <w:tcW w:type="dxa" w:w="3322"/>
          </w:tcPr>
          <w:p>
            <w:pPr>
              <w:pStyle w:val="null3"/>
            </w:pPr>
            <w:r>
              <w:rPr>
                <w:rFonts w:ascii="仿宋_GB2312" w:hAnsi="仿宋_GB2312" w:cs="仿宋_GB2312" w:eastAsia="仿宋_GB2312"/>
              </w:rPr>
              <w:t>提供陕西省住房和城乡建设厅（https://js.shaanxi.gov.cn）《陕西省建筑市场监管与诚信信息发布平台》企业和拟派项目经理查询截图；外省进陕企业需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在评标过程中，评标委员会认为供应商报价明显低于其他实质性响应的供应商报价，有可能影响工程质量或者不能诚信履约的，评标委员会应当要求其在合理的时间内提供成本构成书面说明，并提交相关证明材料。书面说明应当按照国家财务会计制度的规定要求，逐项提供说明。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投标文件作为无效处理。 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响应报价未超过采购预算和最高限价的（合格），响应报价超过采购预算或最高限价的（不合格）</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工期满足竞争性磋商文件要求（合格），工期不满足竞争性磋商文件要求（不合格）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质保期满足竞争性磋商文件要求（合格），质保期不满足竞争性磋商文件要求（不合格）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响应文件签署、盖章符合竞争性磋商文件要求（合格），响应文件签署、盖章不符合竞争性磋商文件要求（不合格）</w:t>
            </w:r>
          </w:p>
        </w:tc>
        <w:tc>
          <w:tcPr>
            <w:tcW w:type="dxa" w:w="1661"/>
          </w:tcPr>
          <w:p>
            <w:pPr>
              <w:pStyle w:val="null3"/>
            </w:pPr>
            <w:r>
              <w:rPr>
                <w:rFonts w:ascii="仿宋_GB2312" w:hAnsi="仿宋_GB2312" w:cs="仿宋_GB2312" w:eastAsia="仿宋_GB2312"/>
              </w:rPr>
              <w:t>已标价工程量清单 节能环保.docx 中小企业声明函 质量保修方案.docx 技术服务合同条款及其他商务要求应答表 供应商应提交的相关资格证明材料 强制优先采购产品承诺函 响应文件封面 应急措施方案.docx 资源配置保障方案.docx 质量控制体系方案.docx 项目管理机构组成表 安全文明施工方案.docx 残疾人福利性单位声明函 施工方案.docx 报价函 标的清单 供应商类似项目业绩一览表 资格证明材料.docx 响应函 环保承诺.docx 主要人员简历表 监狱企业的证明文件 主要材料.docx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响应文件响应有效期符合竞争性磋商文件要求的（合格），响应文件无响应有效期或有效期达不到竞争性磋商文件要求的（不合格）</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响应保证金</w:t>
            </w:r>
          </w:p>
        </w:tc>
        <w:tc>
          <w:tcPr>
            <w:tcW w:type="dxa" w:w="3322"/>
          </w:tcPr>
          <w:p>
            <w:pPr>
              <w:pStyle w:val="null3"/>
            </w:pPr>
            <w:r>
              <w:rPr>
                <w:rFonts w:ascii="仿宋_GB2312" w:hAnsi="仿宋_GB2312" w:cs="仿宋_GB2312" w:eastAsia="仿宋_GB2312"/>
              </w:rPr>
              <w:t>供应商按照竞争性磋商文件要求缴纳保证金的（合格），供应商未按照竞争性磋商文件要求缴纳保证金或保证金缴纳金额少于竞争性磋商文件要求的（不合格）</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未出现法律、法规和磋商文件规定的其他无效情形（合格），出现法律、法规和磋商文件规定的其他无效情形（不合格）</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针对本项目有具体的施工方案需包含①项目施工总体思路；②施工实施阶段划分；③关键工序技术把控措施；④成品与半成品保护措施。共4项内容。 评审标准：内容完整全面、按要求响应得满分10分。每有1项内容存在缺失缺陷，扣2.5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质量控制体系方案</w:t>
            </w:r>
          </w:p>
        </w:tc>
        <w:tc>
          <w:tcPr>
            <w:tcW w:type="dxa" w:w="2492"/>
          </w:tcPr>
          <w:p>
            <w:pPr>
              <w:pStyle w:val="null3"/>
            </w:pPr>
            <w:r>
              <w:rPr>
                <w:rFonts w:ascii="仿宋_GB2312" w:hAnsi="仿宋_GB2312" w:cs="仿宋_GB2312" w:eastAsia="仿宋_GB2312"/>
              </w:rPr>
              <w:t>供应商提供的质量管控体系方案需包含①质量目标及管控措施；②全流程质量检验、整改机制；③质量通病防治措施，共3项内容。 评审标准：内容完整全面、按要求响应得满分9分。每有1项内容存在缺失缺陷，扣3分，扣完为止。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质量控制体系方案.docx</w:t>
            </w:r>
          </w:p>
        </w:tc>
      </w:tr>
      <w:tr>
        <w:tc>
          <w:tcPr>
            <w:tcW w:type="dxa" w:w="831"/>
            <w:vMerge/>
          </w:tcPr>
          <w:p/>
        </w:tc>
        <w:tc>
          <w:tcPr>
            <w:tcW w:type="dxa" w:w="1661"/>
          </w:tcPr>
          <w:p>
            <w:pPr>
              <w:pStyle w:val="null3"/>
            </w:pPr>
            <w:r>
              <w:rPr>
                <w:rFonts w:ascii="仿宋_GB2312" w:hAnsi="仿宋_GB2312" w:cs="仿宋_GB2312" w:eastAsia="仿宋_GB2312"/>
              </w:rPr>
              <w:t>进度管控方案</w:t>
            </w:r>
          </w:p>
        </w:tc>
        <w:tc>
          <w:tcPr>
            <w:tcW w:type="dxa" w:w="2492"/>
          </w:tcPr>
          <w:p>
            <w:pPr>
              <w:pStyle w:val="null3"/>
            </w:pPr>
            <w:r>
              <w:rPr>
                <w:rFonts w:ascii="仿宋_GB2312" w:hAnsi="仿宋_GB2312" w:cs="仿宋_GB2312" w:eastAsia="仿宋_GB2312"/>
              </w:rPr>
              <w:t>供应商提供的进度管控方案需包含①进度管控节点设置、动态调整；②工期延误风险预判及应对措施；③提供施工进度表或施工网络图，共3项内容。 评审标准：内容完整全面、按要求响应得满分9分。每有1项内容存在缺失缺陷，扣3分，扣完为止。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进度管控方案.docx</w:t>
            </w:r>
          </w:p>
        </w:tc>
      </w:tr>
      <w:tr>
        <w:tc>
          <w:tcPr>
            <w:tcW w:type="dxa" w:w="831"/>
            <w:vMerge/>
          </w:tcPr>
          <w:p/>
        </w:tc>
        <w:tc>
          <w:tcPr>
            <w:tcW w:type="dxa" w:w="1661"/>
          </w:tcPr>
          <w:p>
            <w:pPr>
              <w:pStyle w:val="null3"/>
            </w:pPr>
            <w:r>
              <w:rPr>
                <w:rFonts w:ascii="仿宋_GB2312" w:hAnsi="仿宋_GB2312" w:cs="仿宋_GB2312" w:eastAsia="仿宋_GB2312"/>
              </w:rPr>
              <w:t>安全文明施工方案</w:t>
            </w:r>
          </w:p>
        </w:tc>
        <w:tc>
          <w:tcPr>
            <w:tcW w:type="dxa" w:w="2492"/>
          </w:tcPr>
          <w:p>
            <w:pPr>
              <w:pStyle w:val="null3"/>
            </w:pPr>
            <w:r>
              <w:rPr>
                <w:rFonts w:ascii="仿宋_GB2312" w:hAnsi="仿宋_GB2312" w:cs="仿宋_GB2312" w:eastAsia="仿宋_GB2312"/>
              </w:rPr>
              <w:t>供应商提供的安全文明施工方案需包含①安全生产管理制度、责任分工；②安全风险防控方案；③文明施工、环保措施（扬尘、噪音管控等），共3项内容。 评审标准：内容完整全面、按要求响应得满分9分。每有1项内容存在缺失缺陷，扣3分，扣完为止。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安全文明施工方案.docx</w:t>
            </w:r>
          </w:p>
        </w:tc>
      </w:tr>
      <w:tr>
        <w:tc>
          <w:tcPr>
            <w:tcW w:type="dxa" w:w="831"/>
            <w:vMerge/>
          </w:tcPr>
          <w:p/>
        </w:tc>
        <w:tc>
          <w:tcPr>
            <w:tcW w:type="dxa" w:w="1661"/>
          </w:tcPr>
          <w:p>
            <w:pPr>
              <w:pStyle w:val="null3"/>
            </w:pPr>
            <w:r>
              <w:rPr>
                <w:rFonts w:ascii="仿宋_GB2312" w:hAnsi="仿宋_GB2312" w:cs="仿宋_GB2312" w:eastAsia="仿宋_GB2312"/>
              </w:rPr>
              <w:t>应急措施方案</w:t>
            </w:r>
          </w:p>
        </w:tc>
        <w:tc>
          <w:tcPr>
            <w:tcW w:type="dxa" w:w="2492"/>
          </w:tcPr>
          <w:p>
            <w:pPr>
              <w:pStyle w:val="null3"/>
            </w:pPr>
            <w:r>
              <w:rPr>
                <w:rFonts w:ascii="仿宋_GB2312" w:hAnsi="仿宋_GB2312" w:cs="仿宋_GB2312" w:eastAsia="仿宋_GB2312"/>
              </w:rPr>
              <w:t>供应商提供的安全文明施工方案需包含①预防性应急准备；②常见突发情况的应急处置，共2项内容。 评审标准：内容完整全面、按要求响应得满分6分。每有1项内容存在缺失缺陷，扣3分，扣完为止。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应急措施方案.docx</w:t>
            </w:r>
          </w:p>
        </w:tc>
      </w:tr>
      <w:tr>
        <w:tc>
          <w:tcPr>
            <w:tcW w:type="dxa" w:w="831"/>
            <w:vMerge/>
          </w:tcPr>
          <w:p/>
        </w:tc>
        <w:tc>
          <w:tcPr>
            <w:tcW w:type="dxa" w:w="1661"/>
          </w:tcPr>
          <w:p>
            <w:pPr>
              <w:pStyle w:val="null3"/>
            </w:pPr>
            <w:r>
              <w:rPr>
                <w:rFonts w:ascii="仿宋_GB2312" w:hAnsi="仿宋_GB2312" w:cs="仿宋_GB2312" w:eastAsia="仿宋_GB2312"/>
              </w:rPr>
              <w:t>资源配置保障方案</w:t>
            </w:r>
          </w:p>
        </w:tc>
        <w:tc>
          <w:tcPr>
            <w:tcW w:type="dxa" w:w="2492"/>
          </w:tcPr>
          <w:p>
            <w:pPr>
              <w:pStyle w:val="null3"/>
            </w:pPr>
            <w:r>
              <w:rPr>
                <w:rFonts w:ascii="仿宋_GB2312" w:hAnsi="仿宋_GB2312" w:cs="仿宋_GB2312" w:eastAsia="仿宋_GB2312"/>
              </w:rPr>
              <w:t>供应商提供的资源配置保障方案需包含①施工队伍、管理人员及经验；②施工机械设备、材料供应；③人力、设备调度方案，共3项内容。 评审标准：内容完整全面、按要求响应得满分6分。每有1项内容存在缺失缺陷，扣2分，扣完为止。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资源配置保障方案.docx</w:t>
            </w:r>
          </w:p>
        </w:tc>
      </w:tr>
      <w:tr>
        <w:tc>
          <w:tcPr>
            <w:tcW w:type="dxa" w:w="831"/>
            <w:vMerge/>
          </w:tcPr>
          <w:p/>
        </w:tc>
        <w:tc>
          <w:tcPr>
            <w:tcW w:type="dxa" w:w="1661"/>
          </w:tcPr>
          <w:p>
            <w:pPr>
              <w:pStyle w:val="null3"/>
            </w:pPr>
            <w:r>
              <w:rPr>
                <w:rFonts w:ascii="仿宋_GB2312" w:hAnsi="仿宋_GB2312" w:cs="仿宋_GB2312" w:eastAsia="仿宋_GB2312"/>
              </w:rPr>
              <w:t>质量保修方案</w:t>
            </w:r>
          </w:p>
        </w:tc>
        <w:tc>
          <w:tcPr>
            <w:tcW w:type="dxa" w:w="2492"/>
          </w:tcPr>
          <w:p>
            <w:pPr>
              <w:pStyle w:val="null3"/>
            </w:pPr>
            <w:r>
              <w:rPr>
                <w:rFonts w:ascii="仿宋_GB2312" w:hAnsi="仿宋_GB2312" w:cs="仿宋_GB2312" w:eastAsia="仿宋_GB2312"/>
              </w:rPr>
              <w:t>供应商提供的质量保修方案需包含①售后保障工作服务方案及工作计划；②保修团队人员配备并具备相关资格证书③巡查或复查计划及售后质量保障措施；④对工程维修服务响应时限有明确的承诺；共4项内容。 评审标准：内容完整全面、按要求响应得满分8分。每有1项内容存在缺失缺陷，扣2分，扣完为止。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质量保修方案.docx</w:t>
            </w:r>
          </w:p>
        </w:tc>
      </w:tr>
      <w:tr>
        <w:tc>
          <w:tcPr>
            <w:tcW w:type="dxa" w:w="831"/>
            <w:vMerge/>
          </w:tcPr>
          <w:p/>
        </w:tc>
        <w:tc>
          <w:tcPr>
            <w:tcW w:type="dxa" w:w="1661"/>
          </w:tcPr>
          <w:p>
            <w:pPr>
              <w:pStyle w:val="null3"/>
            </w:pPr>
            <w:r>
              <w:rPr>
                <w:rFonts w:ascii="仿宋_GB2312" w:hAnsi="仿宋_GB2312" w:cs="仿宋_GB2312" w:eastAsia="仿宋_GB2312"/>
              </w:rPr>
              <w:t>环保承诺</w:t>
            </w:r>
          </w:p>
        </w:tc>
        <w:tc>
          <w:tcPr>
            <w:tcW w:type="dxa" w:w="2492"/>
          </w:tcPr>
          <w:p>
            <w:pPr>
              <w:pStyle w:val="null3"/>
            </w:pPr>
            <w:r>
              <w:rPr>
                <w:rFonts w:ascii="仿宋_GB2312" w:hAnsi="仿宋_GB2312" w:cs="仿宋_GB2312" w:eastAsia="仿宋_GB2312"/>
              </w:rPr>
              <w:t>供应商承诺施工完成后环保可达到国家相关标准。可请第三方专业团队对于甲醛等问题进行专业检测及处理。 评审标准：内容完整全面、按要求响应得满分1分。每有1项内容存在缺失缺陷，扣1分，扣完为止。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环保承诺.docx</w:t>
            </w:r>
          </w:p>
        </w:tc>
      </w:tr>
      <w:tr>
        <w:tc>
          <w:tcPr>
            <w:tcW w:type="dxa" w:w="831"/>
            <w:vMerge/>
          </w:tcPr>
          <w:p/>
        </w:tc>
        <w:tc>
          <w:tcPr>
            <w:tcW w:type="dxa" w:w="1661"/>
          </w:tcPr>
          <w:p>
            <w:pPr>
              <w:pStyle w:val="null3"/>
            </w:pPr>
            <w:r>
              <w:rPr>
                <w:rFonts w:ascii="仿宋_GB2312" w:hAnsi="仿宋_GB2312" w:cs="仿宋_GB2312" w:eastAsia="仿宋_GB2312"/>
              </w:rPr>
              <w:t>拟派项目部人员构成</w:t>
            </w:r>
          </w:p>
        </w:tc>
        <w:tc>
          <w:tcPr>
            <w:tcW w:type="dxa" w:w="2492"/>
          </w:tcPr>
          <w:p>
            <w:pPr>
              <w:pStyle w:val="null3"/>
            </w:pPr>
            <w:r>
              <w:rPr>
                <w:rFonts w:ascii="仿宋_GB2312" w:hAnsi="仿宋_GB2312" w:cs="仿宋_GB2312" w:eastAsia="仿宋_GB2312"/>
              </w:rPr>
              <w:t>项目部人员至少应包括（除项目经理外）每配备一个技术人员或管理人员（施工员、安全员、造价员、资料员）加1分，最高得4分。 评审依据：专业技术或管理人员应提供满足上述要求的技术职称证书或注册证书的扫描件或复印件；造价员应提供执业资格证书及注册证书的扫描件或复印件，且注册单位为供应商本单位；安全员应提供安全C证的扫描件或复印件；资料人员应提供上岗证明材料。 同时，供应商须提供项目部全体人员合法有效的身份证扫描件或复印件。未按要求提供以上全部资料的，将不予认定及赋分。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主要材料</w:t>
            </w:r>
          </w:p>
        </w:tc>
        <w:tc>
          <w:tcPr>
            <w:tcW w:type="dxa" w:w="2492"/>
          </w:tcPr>
          <w:p>
            <w:pPr>
              <w:pStyle w:val="null3"/>
            </w:pPr>
            <w:r>
              <w:rPr>
                <w:rFonts w:ascii="仿宋_GB2312" w:hAnsi="仿宋_GB2312" w:cs="仿宋_GB2312" w:eastAsia="仿宋_GB2312"/>
              </w:rPr>
              <w:t>供应商针对本项目的主材清单（清单内容包括但不限于材料名称、品牌、规格、材质等），提供相关检测报告。 评审标准：内容完整全面的检测报告得满分1分。每有1项内容存在缺失缺陷，扣1分，扣完为止。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磋商产品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供应商须提供近三年（2023年06月01日至首次磋商响应文件提交截止时间）类似业绩证明材料。每具备一项上述业绩得1分，最高得5分。证明材料不全的不予赋分。 注：业绩所属期限以合同签订日期为准。供应商提供合同复印件或中标通知书复印件证明业绩有效）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 磋商报价得分=（磋商基准价/最后磋商报价）×价格分 注：1.计算分数时四舍五入取小数点后两位； 2.落实政府采购政策：参见供应商须知前附表。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详见附件：质量控制体系方案.docx</w:t>
      </w:r>
    </w:p>
    <w:p>
      <w:pPr>
        <w:pStyle w:val="null3"/>
        <w:ind w:firstLine="960"/>
      </w:pPr>
      <w:r>
        <w:rPr>
          <w:rFonts w:ascii="仿宋_GB2312" w:hAnsi="仿宋_GB2312" w:cs="仿宋_GB2312" w:eastAsia="仿宋_GB2312"/>
        </w:rPr>
        <w:t>详见附件：进度管控方案.docx</w:t>
      </w:r>
    </w:p>
    <w:p>
      <w:pPr>
        <w:pStyle w:val="null3"/>
        <w:ind w:firstLine="960"/>
      </w:pPr>
      <w:r>
        <w:rPr>
          <w:rFonts w:ascii="仿宋_GB2312" w:hAnsi="仿宋_GB2312" w:cs="仿宋_GB2312" w:eastAsia="仿宋_GB2312"/>
        </w:rPr>
        <w:t>详见附件：安全文明施工方案.docx</w:t>
      </w:r>
    </w:p>
    <w:p>
      <w:pPr>
        <w:pStyle w:val="null3"/>
        <w:ind w:firstLine="960"/>
      </w:pPr>
      <w:r>
        <w:rPr>
          <w:rFonts w:ascii="仿宋_GB2312" w:hAnsi="仿宋_GB2312" w:cs="仿宋_GB2312" w:eastAsia="仿宋_GB2312"/>
        </w:rPr>
        <w:t>详见附件：应急措施方案.docx</w:t>
      </w:r>
    </w:p>
    <w:p>
      <w:pPr>
        <w:pStyle w:val="null3"/>
        <w:ind w:firstLine="960"/>
      </w:pPr>
      <w:r>
        <w:rPr>
          <w:rFonts w:ascii="仿宋_GB2312" w:hAnsi="仿宋_GB2312" w:cs="仿宋_GB2312" w:eastAsia="仿宋_GB2312"/>
        </w:rPr>
        <w:t>详见附件：资源配置保障方案.docx</w:t>
      </w:r>
    </w:p>
    <w:p>
      <w:pPr>
        <w:pStyle w:val="null3"/>
        <w:ind w:firstLine="960"/>
      </w:pPr>
      <w:r>
        <w:rPr>
          <w:rFonts w:ascii="仿宋_GB2312" w:hAnsi="仿宋_GB2312" w:cs="仿宋_GB2312" w:eastAsia="仿宋_GB2312"/>
        </w:rPr>
        <w:t>详见附件：质量保修方案.docx</w:t>
      </w:r>
    </w:p>
    <w:p>
      <w:pPr>
        <w:pStyle w:val="null3"/>
        <w:ind w:firstLine="960"/>
      </w:pPr>
      <w:r>
        <w:rPr>
          <w:rFonts w:ascii="仿宋_GB2312" w:hAnsi="仿宋_GB2312" w:cs="仿宋_GB2312" w:eastAsia="仿宋_GB2312"/>
        </w:rPr>
        <w:t>详见附件：环保承诺.docx</w:t>
      </w:r>
    </w:p>
    <w:p>
      <w:pPr>
        <w:pStyle w:val="null3"/>
        <w:ind w:firstLine="960"/>
      </w:pPr>
      <w:r>
        <w:rPr>
          <w:rFonts w:ascii="仿宋_GB2312" w:hAnsi="仿宋_GB2312" w:cs="仿宋_GB2312" w:eastAsia="仿宋_GB2312"/>
        </w:rPr>
        <w:t>详见附件：主要材料.docx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