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版本号：0617-2622XZ161420260618001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2026义务教育薄弱环节改善与能力提升补助资金项目（食堂屋面钢结构玻璃雨棚搭建及学生排球练习墙建设）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0617-2622XZ1614</w:t>
      </w:r>
      <w:r>
        <w:br/>
      </w:r>
      <w:r>
        <w:br/>
      </w:r>
      <w:r>
        <w:br/>
      </w:r>
    </w:p>
    <w:p>
      <w:pPr>
        <w:pStyle w:val="null3"/>
        <w:jc w:val="center"/>
        <w:outlineLvl w:val="2"/>
      </w:pPr>
      <w:r>
        <w:rPr>
          <w:rFonts w:ascii="仿宋_GB2312" w:hAnsi="仿宋_GB2312" w:cs="仿宋_GB2312" w:eastAsia="仿宋_GB2312"/>
          <w:sz w:val="28"/>
          <w:b/>
        </w:rPr>
        <w:t>西安市雁塔区第四中学</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西安市雁塔区第四中学</w:t>
      </w:r>
      <w:r>
        <w:rPr>
          <w:rFonts w:ascii="仿宋_GB2312" w:hAnsi="仿宋_GB2312" w:cs="仿宋_GB2312" w:eastAsia="仿宋_GB2312"/>
        </w:rPr>
        <w:t>委托，拟对</w:t>
      </w:r>
      <w:r>
        <w:rPr>
          <w:rFonts w:ascii="仿宋_GB2312" w:hAnsi="仿宋_GB2312" w:cs="仿宋_GB2312" w:eastAsia="仿宋_GB2312"/>
        </w:rPr>
        <w:t>2026义务教育薄弱环节改善与能力提升补助资金项目（食堂屋面钢结构玻璃雨棚搭建及学生排球练习墙建设）</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0617-2622XZ1614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2026义务教育薄弱环节改善与能力提升补助资金项目（食堂屋面钢结构玻璃雨棚搭建及学生排球练习墙建设）</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食堂屋面钢结构玻璃雨棚搭建及学生排球练习墙建设，具体要求详见本项目工程量清单及图纸。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采购包1（2026义务教育薄弱环节改善与能力提升补助资金项目（食堂屋面钢结构玻璃雨棚搭建及学生排球练习墙建设））：属于专门面向小微企业采购。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1、企业资质证书：供应商具备建筑工程施工总承包叁级及以上资质，并具有有效的安全生产许可证。</w:t>
      </w:r>
    </w:p>
    <w:p>
      <w:pPr>
        <w:pStyle w:val="null3"/>
      </w:pPr>
      <w:r>
        <w:rPr>
          <w:rFonts w:ascii="仿宋_GB2312" w:hAnsi="仿宋_GB2312" w:cs="仿宋_GB2312" w:eastAsia="仿宋_GB2312"/>
        </w:rPr>
        <w:t>2、拟派项目经理要求：拟派项目经理须具备合法有效的建筑工程专业二级(含)及以上注册建造师执业资格证书，同时具备有效的安全生产考核合格证书(安全B证)，在本单位注册且无在建工程。</w:t>
      </w:r>
    </w:p>
    <w:p>
      <w:pPr>
        <w:pStyle w:val="null3"/>
      </w:pPr>
      <w:r>
        <w:rPr>
          <w:rFonts w:ascii="仿宋_GB2312" w:hAnsi="仿宋_GB2312" w:cs="仿宋_GB2312" w:eastAsia="仿宋_GB2312"/>
        </w:rPr>
        <w:t>3、法定代表人授权书及被授权人本单位证明：供应商应授权合法的人员参加磋商，其中法定代表人直接参加的须出具法定代表人身份证并与营业执照上信息一致，法定代表人授权代表参加的须出具法定代表人授权书及被授权人本单位证明 (近6个月内任意1个月社保缴纳证明)。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西安市雁塔区第四中学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西安市雁塔区樱花二路与沣经三路东北角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029-89058442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程佳、杨凡、王炳淇、张勃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029-85592868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代理服务费收费标准：人民币5000元。</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踏勘时间：2026-06-27 15:00:00</w:t>
            </w:r>
          </w:p>
          <w:p>
            <w:pPr>
              <w:pStyle w:val="null3"/>
              <w:ind w:firstLine="975"/>
            </w:pPr>
            <w:r>
              <w:rPr>
                <w:rFonts w:ascii="仿宋_GB2312" w:hAnsi="仿宋_GB2312" w:cs="仿宋_GB2312" w:eastAsia="仿宋_GB2312"/>
              </w:rPr>
              <w:t>踏勘地点：西安市雁塔区第四中学</w:t>
            </w:r>
          </w:p>
          <w:p>
            <w:pPr>
              <w:pStyle w:val="null3"/>
              <w:ind w:firstLine="975"/>
            </w:pPr>
            <w:r>
              <w:rPr>
                <w:rFonts w:ascii="仿宋_GB2312" w:hAnsi="仿宋_GB2312" w:cs="仿宋_GB2312" w:eastAsia="仿宋_GB2312"/>
              </w:rPr>
              <w:t>联系人： 杜老师</w:t>
            </w:r>
          </w:p>
          <w:p>
            <w:pPr>
              <w:pStyle w:val="null3"/>
              <w:ind w:firstLine="975"/>
            </w:pPr>
            <w:r>
              <w:rPr>
                <w:rFonts w:ascii="仿宋_GB2312" w:hAnsi="仿宋_GB2312" w:cs="仿宋_GB2312" w:eastAsia="仿宋_GB2312"/>
              </w:rPr>
              <w:t>联系电话号码：18291985357</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西安市雁塔区第四中学</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西安市雁塔区第四中学</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西安市雁塔区第四中学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供应商需提供相关技术资料，并承诺提供无限期支持，采购人享有使用权。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地址：西安市南二环西段58号成长大厦12楼 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398,000.00</w:t>
      </w:r>
    </w:p>
    <w:p>
      <w:pPr>
        <w:pStyle w:val="null3"/>
      </w:pPr>
      <w:r>
        <w:rPr>
          <w:rFonts w:ascii="仿宋_GB2312" w:hAnsi="仿宋_GB2312" w:cs="仿宋_GB2312" w:eastAsia="仿宋_GB2312"/>
        </w:rPr>
        <w:t>采购包最高限价（元）: 398,000.00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食堂屋面钢结构玻璃雨棚搭建及学生排球练习墙建设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398,000.00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标的名称：食堂屋面钢结构玻璃雨棚搭建及学生排球练习墙建设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20"/>
            </w:pPr>
            <w:r>
              <w:rPr>
                <w:rFonts w:ascii="仿宋_GB2312" w:hAnsi="仿宋_GB2312" w:cs="仿宋_GB2312" w:eastAsia="仿宋_GB2312"/>
                <w:sz w:val="21"/>
                <w:b/>
              </w:rPr>
              <w:t>一、</w:t>
            </w:r>
            <w:r>
              <w:rPr>
                <w:rFonts w:ascii="仿宋_GB2312" w:hAnsi="仿宋_GB2312" w:cs="仿宋_GB2312" w:eastAsia="仿宋_GB2312"/>
                <w:sz w:val="21"/>
                <w:b/>
              </w:rPr>
              <w:t>工程内容</w:t>
            </w:r>
            <w:r>
              <w:br/>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工程名称：</w:t>
            </w:r>
            <w:r>
              <w:rPr>
                <w:rFonts w:ascii="仿宋_GB2312" w:hAnsi="仿宋_GB2312" w:cs="仿宋_GB2312" w:eastAsia="仿宋_GB2312"/>
              </w:rPr>
              <w:t>2026义务教育薄弱环节改善与能力提升补助资金项目（食堂屋面钢结构玻璃雨棚搭建及学生排球练习墙建设）</w:t>
            </w:r>
          </w:p>
          <w:p>
            <w:pPr>
              <w:pStyle w:val="null3"/>
              <w:ind w:left="420"/>
            </w:pPr>
            <w:r>
              <w:rPr>
                <w:rFonts w:ascii="仿宋_GB2312" w:hAnsi="仿宋_GB2312" w:cs="仿宋_GB2312" w:eastAsia="仿宋_GB2312"/>
                <w:sz w:val="21"/>
                <w:b/>
              </w:rPr>
              <w:t>二、</w:t>
            </w:r>
            <w:r>
              <w:rPr>
                <w:rFonts w:ascii="仿宋_GB2312" w:hAnsi="仿宋_GB2312" w:cs="仿宋_GB2312" w:eastAsia="仿宋_GB2312"/>
                <w:sz w:val="21"/>
                <w:b/>
              </w:rPr>
              <w:t>建设地点、单位</w:t>
            </w:r>
            <w:r>
              <w:br/>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建设地点：</w:t>
            </w:r>
            <w:r>
              <w:rPr>
                <w:rFonts w:ascii="仿宋_GB2312" w:hAnsi="仿宋_GB2312" w:cs="仿宋_GB2312" w:eastAsia="仿宋_GB2312"/>
              </w:rPr>
              <w:t>西安市雁塔区第四中学</w:t>
            </w:r>
          </w:p>
          <w:p>
            <w:pPr>
              <w:pStyle w:val="null3"/>
              <w:ind w:firstLine="400"/>
            </w:pPr>
            <w:r>
              <w:rPr>
                <w:rFonts w:ascii="仿宋_GB2312" w:hAnsi="仿宋_GB2312" w:cs="仿宋_GB2312" w:eastAsia="仿宋_GB2312"/>
              </w:rPr>
              <w:t>2、</w:t>
            </w:r>
            <w:r>
              <w:rPr>
                <w:rFonts w:ascii="仿宋_GB2312" w:hAnsi="仿宋_GB2312" w:cs="仿宋_GB2312" w:eastAsia="仿宋_GB2312"/>
              </w:rPr>
              <w:t>建设单位：</w:t>
            </w:r>
            <w:r>
              <w:rPr>
                <w:rFonts w:ascii="仿宋_GB2312" w:hAnsi="仿宋_GB2312" w:cs="仿宋_GB2312" w:eastAsia="仿宋_GB2312"/>
              </w:rPr>
              <w:t>西安市雁塔区第四中学</w:t>
            </w:r>
            <w:r>
              <w:br/>
            </w:r>
            <w:r>
              <w:rPr>
                <w:rFonts w:ascii="仿宋_GB2312" w:hAnsi="仿宋_GB2312" w:cs="仿宋_GB2312" w:eastAsia="仿宋_GB2312"/>
                <w:sz w:val="21"/>
                <w:b/>
              </w:rPr>
              <w:t>三、工程量清单</w:t>
            </w:r>
          </w:p>
          <w:p>
            <w:pPr>
              <w:pStyle w:val="null3"/>
              <w:ind w:firstLine="420"/>
            </w:pPr>
            <w:r>
              <w:rPr>
                <w:rFonts w:ascii="仿宋_GB2312" w:hAnsi="仿宋_GB2312" w:cs="仿宋_GB2312" w:eastAsia="仿宋_GB2312"/>
                <w:sz w:val="21"/>
              </w:rPr>
              <w:t>详见附件</w:t>
            </w:r>
          </w:p>
          <w:p>
            <w:pPr>
              <w:pStyle w:val="null3"/>
            </w:pPr>
            <w:r>
              <w:rPr>
                <w:rFonts w:ascii="仿宋_GB2312" w:hAnsi="仿宋_GB2312" w:cs="仿宋_GB2312" w:eastAsia="仿宋_GB2312"/>
                <w:sz w:val="21"/>
                <w:b/>
              </w:rPr>
              <w:t>四、</w:t>
            </w:r>
            <w:r>
              <w:rPr>
                <w:rFonts w:ascii="仿宋_GB2312" w:hAnsi="仿宋_GB2312" w:cs="仿宋_GB2312" w:eastAsia="仿宋_GB2312"/>
                <w:sz w:val="21"/>
                <w:b/>
              </w:rPr>
              <w:t>编制范围</w:t>
            </w:r>
          </w:p>
          <w:p>
            <w:pPr>
              <w:pStyle w:val="null3"/>
              <w:ind w:firstLine="420"/>
            </w:pPr>
            <w:r>
              <w:rPr>
                <w:rFonts w:ascii="仿宋_GB2312" w:hAnsi="仿宋_GB2312" w:cs="仿宋_GB2312" w:eastAsia="仿宋_GB2312"/>
                <w:sz w:val="21"/>
              </w:rPr>
              <w:t>工程量清单范围内所有内容。</w:t>
            </w:r>
          </w:p>
          <w:p>
            <w:pPr>
              <w:pStyle w:val="null3"/>
            </w:pPr>
            <w:r>
              <w:rPr>
                <w:rFonts w:ascii="仿宋_GB2312" w:hAnsi="仿宋_GB2312" w:cs="仿宋_GB2312" w:eastAsia="仿宋_GB2312"/>
                <w:sz w:val="21"/>
                <w:b/>
              </w:rPr>
              <w:t>五</w:t>
            </w:r>
            <w:r>
              <w:rPr>
                <w:rFonts w:ascii="仿宋_GB2312" w:hAnsi="仿宋_GB2312" w:cs="仿宋_GB2312" w:eastAsia="仿宋_GB2312"/>
                <w:sz w:val="21"/>
                <w:b/>
              </w:rPr>
              <w:t>、商务要求</w:t>
            </w:r>
          </w:p>
          <w:p>
            <w:pPr>
              <w:pStyle w:val="null3"/>
              <w:ind w:firstLine="420"/>
            </w:pPr>
            <w:r>
              <w:rPr>
                <w:rFonts w:ascii="仿宋_GB2312" w:hAnsi="仿宋_GB2312" w:cs="仿宋_GB2312" w:eastAsia="仿宋_GB2312"/>
                <w:sz w:val="21"/>
              </w:rPr>
              <w:t>1、</w:t>
            </w:r>
            <w:r>
              <w:rPr>
                <w:rFonts w:ascii="仿宋_GB2312" w:hAnsi="仿宋_GB2312" w:cs="仿宋_GB2312" w:eastAsia="仿宋_GB2312"/>
                <w:sz w:val="21"/>
              </w:rPr>
              <w:t>计划</w:t>
            </w:r>
            <w:r>
              <w:rPr>
                <w:rFonts w:ascii="仿宋_GB2312" w:hAnsi="仿宋_GB2312" w:cs="仿宋_GB2312" w:eastAsia="仿宋_GB2312"/>
                <w:sz w:val="21"/>
              </w:rPr>
              <w:t>工期：</w:t>
            </w:r>
            <w:r>
              <w:rPr>
                <w:rFonts w:ascii="仿宋_GB2312" w:hAnsi="仿宋_GB2312" w:cs="仿宋_GB2312" w:eastAsia="仿宋_GB2312"/>
                <w:sz w:val="21"/>
              </w:rPr>
              <w:t>40日历日</w:t>
            </w:r>
          </w:p>
          <w:p>
            <w:pPr>
              <w:pStyle w:val="null3"/>
              <w:ind w:firstLine="400"/>
            </w:pPr>
            <w:r>
              <w:rPr>
                <w:rFonts w:ascii="仿宋_GB2312" w:hAnsi="仿宋_GB2312" w:cs="仿宋_GB2312" w:eastAsia="仿宋_GB2312"/>
              </w:rPr>
              <w:t>2、</w:t>
            </w:r>
            <w:r>
              <w:rPr>
                <w:rFonts w:ascii="仿宋_GB2312" w:hAnsi="仿宋_GB2312" w:cs="仿宋_GB2312" w:eastAsia="仿宋_GB2312"/>
              </w:rPr>
              <w:t>质量要求：达到国家现行行业验收规范</w:t>
            </w:r>
            <w:r>
              <w:rPr>
                <w:rFonts w:ascii="仿宋_GB2312" w:hAnsi="仿宋_GB2312" w:cs="仿宋_GB2312" w:eastAsia="仿宋_GB2312"/>
              </w:rPr>
              <w:t>“合格 ”标准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本工程的施工过程和成果必须符合国家有关工程建设标准强制性条文和国家或有关部门关于工程施工方面现行的标准、规范、规程、定额、办法、示例，以及陕西省关于工程施工方面的文件、规定。 承包人在施工过程中使用或参考上述标准、规范以外的技术标准、规范时，应征得业主或业主指定代表人的同意。 在施工过程中，如果国家或有关部门颁布了新的技术标准或规范，则承包人应采用新的标准或规范进行施工。</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（一）提供注册登记凭证（营业执照、其他组织经营的合法凭证，自然人的提供身份证明文件）。 （二）具有良好的商业信誉和健全的财务会计制度。提供2024年或2025年经审计的具有注册会计师行业统一监管平台出具赋码的财务报告（包括四表一注，即资产负债表、利润表、现金流量表、所有者权益变动表及其附注），且无反对意见；事业法人提供部门决算报告；/或在磋商日期前六个月内其基本开户银行出具的资信证明（附基本存款账户信息等证明材料）；/或专业担保机构出具的磋商担保函；/或供应商基本资格条件承诺函。以上四种形式的资料提供任何一种即可。 （三）具有履行合同所必需的设备和专业技术能力。提供诚信承诺。 （四）具有依法缴纳税收的良好记录。提供缴费所属日期为投标截止时间前12个月内任一月份（磋商截止时间当月不计入）的缴费凭据或税务机关出具的完税证明或（在法规范围内不需提供的应出具书面说明和证明文件）；/或供应商基本资格条件承诺函。以上形式的资料提供任何一种即可。 （五）具有依法缴纳社会保障资金的良好记录。提供缴费所属日期为磋商时间前12个月内任一月份（磋商截止时间当月不计入）的缴费凭据或社保机关出具的缴费证明/在法规范围内不需提供的应出具书面说明和证明文件；/或供应商基本资格条件承诺函。以上形式的资料提供任何一种即可。 （六）参加政府采购活动前3年内在经营活动中没有重大违法记录的书面声明。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2024年或2025年经审计的具有注册会计师行业统一监管平台出具赋码的财务报告（包括四表一注，即资产负债表、利润表、现金流量表、所有者权益变动表及其附注），且无反对意见；事业法人提供部门决算报告；/或在磋商日期前六个月内其基本开户银行出具的资信证明（附基本存款账户信息等证明材料）；/或专业担保机构出具的磋商担保函；/或供应商基本资格条件承诺函。以上四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全部为符合政策要求的小微企业或监狱企业或残疾人福利性单位；小微企业应符合《政府采购促进中小企业发展暂行办法》（财库〔2020〕46号）要求，残疾人福利性单位应符合《财政部、民政部、中国残疾人联合会发布关于促进残疾人就业政府采购政策的通知》（财库〔2017〕141号）要求，监狱企业应符合《财政部 司法部关于政府采购支持监狱企业发展有关问题的通知》（财库〔2014〕68号）要求。供应商应填写符合上述文件规定的中小企业声明函或残疾人福利性单位业声明函或监狱企业证明文件，并对真实性负责。</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企业资质证书</w:t>
            </w:r>
          </w:p>
        </w:tc>
        <w:tc>
          <w:tcPr>
            <w:tcW w:type="dxa" w:w="3322"/>
          </w:tcPr>
          <w:p>
            <w:pPr>
              <w:pStyle w:val="null3"/>
            </w:pPr>
            <w:r>
              <w:rPr>
                <w:rFonts w:ascii="仿宋_GB2312" w:hAnsi="仿宋_GB2312" w:cs="仿宋_GB2312" w:eastAsia="仿宋_GB2312"/>
              </w:rPr>
              <w:t>供应商具备建筑工程施工总承包叁级及以上资质，并具有有效的安全生产许可证。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拟派项目经理要求</w:t>
            </w:r>
          </w:p>
        </w:tc>
        <w:tc>
          <w:tcPr>
            <w:tcW w:type="dxa" w:w="3322"/>
          </w:tcPr>
          <w:p>
            <w:pPr>
              <w:pStyle w:val="null3"/>
            </w:pPr>
            <w:r>
              <w:rPr>
                <w:rFonts w:ascii="仿宋_GB2312" w:hAnsi="仿宋_GB2312" w:cs="仿宋_GB2312" w:eastAsia="仿宋_GB2312"/>
              </w:rPr>
              <w:t>拟派项目经理须具备合法有效的建筑工程专业二级(含)及以上注册建造师执业资格证书，同时具备有效的安全生产考核合格证书(安全B证)，在本单位注册且无在建工程。</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法定代表人授权书及被授权人本单位证明</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供应商应授权合法的人员参加磋商，其中法定代表人直接参加的须出具法定代表人身份证并与营业执照上信息一致，法定代表人授权代表参加的须出具法定代表人授权书及被授权人本单位证明 (近6个月内任意1个月社保缴纳证明)。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磋商响应文件的完整性、有效性、响应性审查</w:t>
            </w:r>
          </w:p>
        </w:tc>
        <w:tc>
          <w:tcPr>
            <w:tcW w:type="dxa" w:w="3322"/>
          </w:tcPr>
          <w:p>
            <w:pPr>
              <w:pStyle w:val="null3"/>
            </w:pPr>
            <w:r>
              <w:rPr>
                <w:rFonts w:ascii="仿宋_GB2312" w:hAnsi="仿宋_GB2312" w:cs="仿宋_GB2312" w:eastAsia="仿宋_GB2312"/>
              </w:rPr>
              <w:t>磋商响应文件是否按照磋商文件要求的格式编写。磋商响应文件的签署、加盖印章是否有效。磋商报价是否未超过采购预算；磋商报价有效期是否符合磋商文件的要求；工期、质量是否满足磋商文件要求，是否满足磋商文件的实质性要求。</w:t>
            </w:r>
          </w:p>
        </w:tc>
        <w:tc>
          <w:tcPr>
            <w:tcW w:type="dxa" w:w="1661"/>
          </w:tcPr>
          <w:p>
            <w:pPr>
              <w:pStyle w:val="null3"/>
            </w:pPr>
            <w:r>
              <w:rPr>
                <w:rFonts w:ascii="仿宋_GB2312" w:hAnsi="仿宋_GB2312" w:cs="仿宋_GB2312" w:eastAsia="仿宋_GB2312"/>
              </w:rPr>
              <w:t>响应文件封面 响应方案说明书.docx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供应商提供针对本项目施工技术方案及措施。方案包含以下内容：①施工方法②技术措施③施工总体组织④施工方案。 注：各项内容全面详细、阐述条理清晰详尽、符合本项目采购需求，能有效保障本项目实施的得12分；每有一个模块缺项扣3分；每个模块中内容存在缺陷的，扣0.1-1.5分，扣完为止。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文明施工的技术组织措施</w:t>
            </w:r>
          </w:p>
        </w:tc>
        <w:tc>
          <w:tcPr>
            <w:tcW w:type="dxa" w:w="2492"/>
          </w:tcPr>
          <w:p>
            <w:pPr>
              <w:pStyle w:val="null3"/>
            </w:pPr>
            <w:r>
              <w:rPr>
                <w:rFonts w:ascii="仿宋_GB2312" w:hAnsi="仿宋_GB2312" w:cs="仿宋_GB2312" w:eastAsia="仿宋_GB2312"/>
              </w:rPr>
              <w:t>供应商针对本项目提供安全、文明施工措施。包含以下内容：①安全、文明施工管理制度；②安全、文明组织机构③环境保护文明施工措施。 注：各项内容全面详细、阐述条理清晰详尽、符合本项目采购需求，能有效保障本项目实施的得9分；每有一个模块缺项扣3分；每个模块中内容存在缺陷的，扣0.1-1.5分，扣完为止。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工程质量管理体系及保证措施</w:t>
            </w:r>
          </w:p>
        </w:tc>
        <w:tc>
          <w:tcPr>
            <w:tcW w:type="dxa" w:w="2492"/>
          </w:tcPr>
          <w:p>
            <w:pPr>
              <w:pStyle w:val="null3"/>
            </w:pPr>
            <w:r>
              <w:rPr>
                <w:rFonts w:ascii="仿宋_GB2312" w:hAnsi="仿宋_GB2312" w:cs="仿宋_GB2312" w:eastAsia="仿宋_GB2312"/>
              </w:rPr>
              <w:t>供应商针对本项目提供工程质量保障措施。 方案包含以下内容：①质量保障体系②质量岗位职责③对材料的质量控制制度④工程质量监督管理措施⑤报告交付管理措施⑥应急保障措施。 注：各项内容全面详细、阐述条理清晰详尽、符合本项目采购需求，能有效保障本项目实施的得12分；每有一个模块缺项扣2分；每个模块中内容存在缺陷的，扣0.1-1.5分，扣完为止。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工程进度的保障措施</w:t>
            </w:r>
          </w:p>
        </w:tc>
        <w:tc>
          <w:tcPr>
            <w:tcW w:type="dxa" w:w="2492"/>
          </w:tcPr>
          <w:p>
            <w:pPr>
              <w:pStyle w:val="null3"/>
            </w:pPr>
            <w:r>
              <w:rPr>
                <w:rFonts w:ascii="仿宋_GB2312" w:hAnsi="仿宋_GB2312" w:cs="仿宋_GB2312" w:eastAsia="仿宋_GB2312"/>
              </w:rPr>
              <w:t>供应商针对本项目提供工程进度的保障措施。包含以下内容：①工程进度保障措施方案，②劳动力安排计划，③施工进度网络图或施工进度表④施工进度计划检查方案。 注：各项内容全面详细、阐述条理清晰详尽、符合本项目采购需求，能有效保障本项目实施的得8分；每有一个模块缺项扣2分；每个模块中内容存在缺陷的，扣0.1-1.5分，扣完为止。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施工机械设备配备投入计划</w:t>
            </w:r>
          </w:p>
        </w:tc>
        <w:tc>
          <w:tcPr>
            <w:tcW w:type="dxa" w:w="2492"/>
          </w:tcPr>
          <w:p>
            <w:pPr>
              <w:pStyle w:val="null3"/>
            </w:pPr>
            <w:r>
              <w:rPr>
                <w:rFonts w:ascii="仿宋_GB2312" w:hAnsi="仿宋_GB2312" w:cs="仿宋_GB2312" w:eastAsia="仿宋_GB2312"/>
              </w:rPr>
              <w:t>供应商针对本项目提供施工机械配置和材料投入计划。包含以下内容：①材料投入计划②机械设备配备计划③施工材料及机械设备管理方案。 注：各项内容全面详细、阐述条理清晰详尽、符合本项目采购需求，能有效保障本项目实施的得9分；每有一个模块缺项扣3分；每个模块中内容存在缺陷的，扣0.1-1.5分，扣完为止。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供应商针对本项目提供项目组织机构及人员配置清单（至少包含施工员、质量员、安全员、材料员，资料员）。 1、人员安排合理，人员数量能保证项目顺利实施，能详细列明人员清单并付完整人员证明材料，对各岗位安排及职责划分明确，管理制度健全计10分； 2、有人员清单，但证明材料不完善，有各岗位安排及职责划分的计8分； 3、有人员清单及岗位安排计6分； 4、人员配置有缺失计4分； 5、其他不满足情形的不计分。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供应商提供2023年1月起至今（以合同签订时间为准）类似业绩证明（以合同复印件为准），每一项得2分，最高得10分。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 满足磋商文件要求且最终磋商报价最低的磋商报价为评标基准价，其价格分为满分。价格分按照下列公式计算。 报价得分=（评审基准价/有效报价）×价格权重（30%）×100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详见附件：响应方案说明书.docx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