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65DCA4">
      <w:pPr>
        <w:bidi w:val="0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建设工程施工合同（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样板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）</w:t>
      </w:r>
    </w:p>
    <w:p w14:paraId="062BA0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仿宋" w:hAnsi="仿宋" w:eastAsia="仿宋" w:cs="仿宋"/>
          <w:color w:val="auto"/>
          <w:sz w:val="28"/>
          <w:szCs w:val="28"/>
          <w:lang w:val="en-US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甲方（发包人）：</w:t>
      </w:r>
    </w:p>
    <w:p w14:paraId="1C03A9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乙方（承包人）：</w:t>
      </w:r>
    </w:p>
    <w:p w14:paraId="5CC283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依照《中华人民共和国民法典》《中华人民共和国建筑法》及国家相关工程建设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法律、法规，遵循平等、自愿、公平和诚实信用的原则，甲乙双方就西安市雁塔区第四中学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lang w:eastAsia="zh-CN"/>
        </w:rPr>
        <w:t>食堂屋面钢结构玻璃雨棚搭建及学生排球练习墙建设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包工包料施工承包相关事宜，经充分协商一致，订立本合同，双方共同遵照执行。</w:t>
      </w:r>
    </w:p>
    <w:p w14:paraId="047AD8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第一条 工程概况</w:t>
      </w:r>
    </w:p>
    <w:p w14:paraId="78A82394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2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 xml:space="preserve">    1.工程名称：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2026义务教育薄弱环节改善与能力提升补助资金项目（雁塔四中食堂屋面钢结构玻璃雨棚搭建及学生排球练习墙建设）</w:t>
      </w:r>
    </w:p>
    <w:p w14:paraId="292B5E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2.工程地点：西安市雁塔区第四中学校内</w:t>
      </w:r>
    </w:p>
    <w:p w14:paraId="4FEF7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3.工程内容：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玻璃雨棚钢结构骨架制作安装、钢化玻璃铺设、防水密封、立柱加固、排水处理、周边收口；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排球墙整体砌筑、面层处理、配套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找平收口，防护网安装施工等全部施工内容，包含工程所需全部材料采购、运输、加工、安装、垃圾清运、成品保护、调试及竣工验收配合全部工作。</w:t>
      </w:r>
    </w:p>
    <w:p w14:paraId="76E2A8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第二条 工程承包范围</w:t>
      </w:r>
    </w:p>
    <w:p w14:paraId="7CB281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1.本工程采用乙方包工、包全部材料、包施工机械、包人工、包工期、包质量、包安全文明施工、包验收合格、包质保维修、包垃圾清运、包税费的全包模式。</w:t>
      </w:r>
    </w:p>
    <w:p w14:paraId="523C4B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.承包范围包含：玻璃雨棚钢结构基材采购、切割焊接、防腐防锈处理、钢化夹胶玻璃采购安装、防水胶密封、五金配件安装、整体结构检测；排球墙土方清理、墙体砌筑、抹灰找平、面层涂装、尺寸校准、成品保护、防护网安装、现场施工垃圾全部清运离场、工程竣工验收配合、质保期内免费维修等合同范围内全部工作内容，甲方无需提供任何人工、材料、机械设备。</w:t>
      </w:r>
    </w:p>
    <w:p w14:paraId="2C8257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第三条 工程工期</w:t>
      </w:r>
    </w:p>
    <w:p w14:paraId="63A08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1.计划开工日期：______年____月____日，计划完工日期：______年____月____日，总日历工期：______天，工期包含材料采购、加工、安装、自检、整改及竣工验收全部时长。</w:t>
      </w:r>
    </w:p>
    <w:p w14:paraId="684CD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2.无单独节点工期，乙方需严格按照甲方整体现场进度要求完工，按期完成全部施工并通过竣工验收。</w:t>
      </w:r>
    </w:p>
    <w:p w14:paraId="4C07D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3.因甲方现场场地移交延迟、甲方设计变更导致工期延误的，工期据实顺延；因乙方材料供应滞后、施工人员不足、施工失误、自身管理不善导致工期延误的，全部责任及损失由乙方自行承担。</w:t>
      </w:r>
    </w:p>
    <w:p w14:paraId="6F3077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4.乙方需无条件配合甲方合理的现场施工调整要求，服从甲方现场施工管理安排。</w:t>
      </w:r>
    </w:p>
    <w:p w14:paraId="781C13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第四条 工程质量标准</w:t>
      </w:r>
    </w:p>
    <w:p w14:paraId="7FEEE6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1.本工程质量标准按照：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陕西省工程建设标准 2025:《建设工程工程量清单计价标准》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《房屋建筑与装饰工程工程量计算标准》、《市政工程工程量计算标准》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《通用安装工程工程量计算标准》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工程规范执行，工程质量达到国家合格标准，一次性竣工验收合格。</w:t>
      </w:r>
    </w:p>
    <w:p w14:paraId="51EF92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2.所有进场材料必须符合国家质量标准及甲方要求，提供产品合格证、检测报告、质保资料，严禁使用劣质、非标、不合格材料，并签订材料入场登记表。</w:t>
      </w:r>
    </w:p>
    <w:p w14:paraId="6624D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.竣工验收硬性要求：交付竣工验收的工程，必须符合国家及行业规定的工程质量标准，具备完整的工程技术经济资料、材料合格证明文件、经双方签署确认的工程保修书，并满足国家规定的全部竣工条件。工程竣工经验收合格后方可交付甲方投入使用；未经验收或者验收不合格的工程，甲方有权拒绝接收，乙方不得擅自交付使用。</w:t>
      </w:r>
    </w:p>
    <w:p w14:paraId="29D0A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条 标准规范</w:t>
      </w:r>
    </w:p>
    <w:p w14:paraId="606ADD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本工程适用国家及地方现行建筑墙体工程、钢结构工程、玻璃雨棚工程、防水工程、安全文明施工全部现行施工、验收、安全规范及标准。</w:t>
      </w:r>
    </w:p>
    <w:p w14:paraId="1BDC7D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条 甲方责任和义务</w:t>
      </w:r>
    </w:p>
    <w:p w14:paraId="2D420D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1.开工前甲方向乙方进行现场交底，按照设计图纸，明确施工边界、标高、尺寸要求及现场管理要求，提供施工所需现场基准点位。</w:t>
      </w:r>
    </w:p>
    <w:p w14:paraId="7272A6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2.负责协调施工现场周边关系，清理施工场地，保障乙方正常进场施工。</w:t>
      </w:r>
    </w:p>
    <w:p w14:paraId="7E0968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3.委派现场管理人员，对工程施工质量、施工进度、现场安全文明施工进行全过程监督、检查，及时对乙方施工工序进行验收确认。</w:t>
      </w:r>
    </w:p>
    <w:p w14:paraId="2A615C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4.按照本合同约定节点，按时完成工程验收及合同款项支付。</w:t>
      </w:r>
    </w:p>
    <w:p w14:paraId="716211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5.及时接收乙方提交的竣工资料、保修文件，验收合格后向乙方出具正式履约验收报告。</w:t>
      </w:r>
    </w:p>
    <w:p w14:paraId="157311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条 乙方责任和义务</w:t>
      </w:r>
    </w:p>
    <w:p w14:paraId="705E81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1.严格遵守国家法律法规、地方住建部门管理规定及甲方现场管理制度，全面负责施工现场安全生产、文明施工、扬尘管控、环境保护工作，承担施工现场全部安全管理责任。</w:t>
      </w:r>
    </w:p>
    <w:p w14:paraId="3C5544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.严格按照双方确认的施工图纸、验收规范、技术交底要求组织施工，全权负责工程施工质量、施工进度，对工程整体质量、安全、工期承担全部责任。因施工工艺、材料质量、施工管理问题造成的质量缺陷、工期延误、安全事故，全部损失由乙方自行承担。</w:t>
      </w:r>
    </w:p>
    <w:p w14:paraId="1BF9FD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3.自行配备全部施工管理人员、作业人员、施工机械设备、全部施工材料及安全防护用品，所有工作人员必须持证上岗，人员资质、设备资质符合国家施工要求。</w:t>
      </w:r>
    </w:p>
    <w:p w14:paraId="6FD9F1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4.做好施工现场原有建构筑物、地下管线、周边设施及已完工程成品保护工作，施工过程中造成第三方或甲方财物损坏的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，由乙方全额赔偿。</w:t>
      </w:r>
    </w:p>
    <w:p w14:paraId="6291EE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5.施工全过程保持场地整洁，施工垃圾及时清运离场，工程竣工后做到工完场清，符合文明施工及环保要求。</w:t>
      </w:r>
    </w:p>
    <w:p w14:paraId="6C5B0A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自行与现场全部施工人员签订劳动合同，足额按时发放工人工资，承担全部用工纠纷、劳资赔偿及行政处罚责任；若发生劳资纠纷、工人讨薪闹事等情况，全部责任由乙方承担，同时甲方有权追究乙方违约责任。</w:t>
      </w:r>
    </w:p>
    <w:p w14:paraId="1315B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7.工程竣工后，完整整理全套竣工资料、材料合格证明、保修文件，提交甲方申请竣工验收；配合甲方及相关部门完成全部验收整改工作。</w:t>
      </w:r>
    </w:p>
    <w:p w14:paraId="1CD207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8.本工程施工期间，无论甲方款项支付进度、外部资金情况，乙方均不得停工、聚众闹事、阻碍现场施工，保证工程连续施工。</w:t>
      </w:r>
    </w:p>
    <w:p w14:paraId="635A63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八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条 环境保护、安全生产和文明施工</w:t>
      </w:r>
    </w:p>
    <w:p w14:paraId="68E37B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1.乙方为本工程安全生产第一责任方，全面负责施工现场安全管理工作，对所有进场施工人员开展岗前安全教育、安全技术交底，落实全部安全防护措施。</w:t>
      </w:r>
    </w:p>
    <w:p w14:paraId="1D959B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2.施工期间发生一切人身伤亡、设备损坏、第三方财产损失等安全事故，所有医疗费用、赔偿费用、行政处罚费用及法律责任均由乙方独立承担，甲方不承担任何责任及费用。</w:t>
      </w:r>
    </w:p>
    <w:p w14:paraId="65B2D0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3.乙方严格遵守施工现场扬尘治理、噪音管控、污水排放等环保要求，规范现场材料堆放、施工操作，因违规施工被环保、住建、城管等部门处罚的，全部罚款及整改费用由乙方承担。</w:t>
      </w:r>
    </w:p>
    <w:p w14:paraId="3F1CFA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4.乙方需规范现场施工围挡、人员着装、物料堆放，维护甲方现场整体形象，做到标准化文明施工。</w:t>
      </w:r>
    </w:p>
    <w:p w14:paraId="50B654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九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条 材料、设备供应与管理</w:t>
      </w:r>
    </w:p>
    <w:p w14:paraId="00EDE6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1.本工程为乙方包工包料模式，工程施工所需全部主材、辅材、机械设备、运输工具、五金配件、防水耗材等所有物资，均由乙方自行采购、运输、保管、装卸，甲方不提供任何材料及设备。</w:t>
      </w:r>
    </w:p>
    <w:p w14:paraId="4A9855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2.乙方所有进场材料必须符合图纸及国家规范要求，进场前主动报甲方查验，并签订材料进场验收单，不合格材料严禁进场使用；已使用不合格材料的，乙方必须无条件拆除返工，承担全部返工费用及工期损失。</w:t>
      </w:r>
    </w:p>
    <w:p w14:paraId="17BF51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3.乙方自行负责现场材料保管、防护工作，施工期间材料丢失、损坏、损耗均由乙方自行承担，甲方不承担任何材料损耗及保管责任。</w:t>
      </w:r>
    </w:p>
    <w:p w14:paraId="474EC0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4.如有剩余材料，需要离场时，应主动联系甲方查验，并签订材料离场确认单。</w:t>
      </w:r>
    </w:p>
    <w:p w14:paraId="5ECF89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第十条 承包方式、合同总价及价款包含内容</w:t>
      </w:r>
    </w:p>
    <w:p w14:paraId="4EED90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1.承包方式：固定总价包干，乙方包工、包料、包机械、包工期、包质量、包安全、包验收、包质保、包垃圾清运、包税费、包一切风险。</w:t>
      </w:r>
    </w:p>
    <w:p w14:paraId="64E6B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2.合同固定总价款：人民币__________元（大写：________________________元整）。除甲方书面出具工程变更签证外，合同总价不作任何调整。</w:t>
      </w:r>
    </w:p>
    <w:p w14:paraId="2A10EE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合同价款包含全部内容：工程全部材料费、人工费、机械使用费、材料运输及装卸费、加工制作费、安装费、安全文明施工费、环保扬尘治理费、工人保险费、管理费、利润、税费、成品保护费、垃圾清运费、竣工验收配合费、质保期维修费、施工期间停水停电、天气变化、材料价格涨跌等全部不可预见风险费用。</w:t>
      </w:r>
    </w:p>
    <w:p w14:paraId="39AEB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3.合同履行期间，市场材料价格、人工价格、政策费用发生涨跌，均不调整本合同固定总价。</w:t>
      </w:r>
    </w:p>
    <w:p w14:paraId="1BC8D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条 结算办法及付款方式</w:t>
      </w:r>
    </w:p>
    <w:p w14:paraId="6AF4EA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1.本工程无预付款、无进度款，全部款项分两期支付，付款前提为工程验收合格、达到合同约定付款条件。</w:t>
      </w:r>
    </w:p>
    <w:p w14:paraId="470FA9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2.第一期工程款（竣工结算款）：本工程全部施工完成，经甲方组织竣工验收合格，甲方出具正式履约验收报告且达到付款条件，甲方向乙方支付合同总金额的97%。</w:t>
      </w:r>
    </w:p>
    <w:p w14:paraId="05638C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3.第二期工程款（质保尾款）：本工程质保期届满，工程无遗留质量问题、乙方完成全部质保义务且达到付款条件，甲方向乙方无息支付合同总金额剩余的3%质保尾款。</w:t>
      </w:r>
    </w:p>
    <w:p w14:paraId="7AF03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4.乙方申请付款前，需向甲方开具合法等额有效增值税发票，否则甲方有权顺延付款，且不承担违约责任。</w:t>
      </w:r>
    </w:p>
    <w:p w14:paraId="6A93DE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验收不合格追责条款：若工程竣工验收结果不合格，乙方需无条件限期整改直至合格；若整改后仍无法达到验收标准，乙方需全额退还甲方已支付款项，同时赔偿甲方全部经济损失；本合同无履约保证金，乙方直接以自有资金承担全部赔偿责任。</w:t>
      </w:r>
    </w:p>
    <w:p w14:paraId="18E16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条 施工验收</w:t>
      </w:r>
    </w:p>
    <w:p w14:paraId="2B92E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1.隐蔽工程验收：隐蔽工序施工完成后，乙方提前24小时通知甲方验收，验收合格后方可进行下一道工序施工；未经验收擅自隐蔽的，甲方有权要求破开复检，全部费用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及工期损失由乙方承担。</w:t>
      </w:r>
    </w:p>
    <w:p w14:paraId="1B0B2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2.竣工验收：乙方完成全部施工内容后，向甲方提交竣工申请、完整竣工资料、工程保修书，甲方在收到资料后60个工作日内组织竣工验收。</w:t>
      </w:r>
    </w:p>
    <w:p w14:paraId="44C0F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3.验收合格：甲方出具书面履约验收报告且乙方签字确认，工程正式进入质保期，双方办理竣工移交手续。</w:t>
      </w:r>
    </w:p>
    <w:p w14:paraId="3DC76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验收不合格：乙方按照甲方整改要求无偿返工维修，直至验收合格，工期不予顺延；若乙方拒绝整改或整改逾期仍不合格，甲方有权另行委托第三方施工，产生的全部费用由乙方承担，同时乙方需赔偿甲方全部损失。</w:t>
      </w:r>
    </w:p>
    <w:p w14:paraId="71FB03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5.工程未经验收，甲方擅自使用的，视为工程竣工验收合格，由此产生的质量责任由甲方承担。</w:t>
      </w:r>
    </w:p>
    <w:p w14:paraId="5B9902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条 工程保修</w:t>
      </w:r>
    </w:p>
    <w:p w14:paraId="0E82F2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1.保修范围：本合同项下排球墙全部施工内容、玻璃雨棚钢结构、玻璃面板、防水密封、五金连接件等全部工程内容。</w:t>
      </w:r>
    </w:p>
    <w:p w14:paraId="6F57FB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2.质保期限：自工程竣工验收合格、甲方出具履约验收报告之日起计算，质保期共计____年，自______年____月____日起至______年____月____日止。</w:t>
      </w:r>
    </w:p>
    <w:p w14:paraId="117CCC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质保期内，因乙方施工工艺、材料质量问题出现墙体开裂、面层脱落、钢结构锈蚀变形、玻璃开裂、防水渗漏、连接件脱落等质量问题，乙方接到甲方维修通知后，24小时内响应，48小时内到场免费维修，所有费用由乙方承担。</w:t>
      </w:r>
    </w:p>
    <w:p w14:paraId="79CE1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4.若乙方逾期未维修，甲方可委托第三方维修，产生的维修费用、人工费用全部从质保尾款中扣除，不足部分甲方有权向乙方追偿。</w:t>
      </w:r>
    </w:p>
    <w:p w14:paraId="646F91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5.因人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为外力破坏、不可抗力、甲方擅自改动结构造成的损坏，不属于乙方保修范围，乙方可提供维修服务，费用由甲方承担。</w:t>
      </w:r>
    </w:p>
    <w:p w14:paraId="08AB59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第十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条 保险</w:t>
      </w:r>
    </w:p>
    <w:p w14:paraId="2A83B3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乙方必须自行为全部进场施工人员及设备购买保险，全部保险费用由乙方承担。施工期间发生保险范围内事故，乙方负责保险理赔，甲方配合提供相关资料，事故造成的全部损失仍由乙方自行承担。</w:t>
      </w:r>
    </w:p>
    <w:p w14:paraId="460CF6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第十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条 争议解决</w:t>
      </w:r>
    </w:p>
    <w:p w14:paraId="6D25D4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1.甲乙双方履行本合同过程中发生争议，首先由双方友好协商解决；协商不成的，任何一方均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有权向工程所在地人民法院提起诉讼。</w:t>
      </w:r>
    </w:p>
    <w:p w14:paraId="5C4AA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2.争议处理期间，除争议事项外，双方需继续履行合同其余条款，乙方不得停止现场施工。</w:t>
      </w:r>
    </w:p>
    <w:p w14:paraId="40CE14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条 不可抗力</w:t>
      </w:r>
    </w:p>
    <w:p w14:paraId="3F6B4E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1.不可抗力指不能预见、不能避免且不能克服的客观自然灾害及政府强制管控行为，包括地震、台风、洪水、政府应急停工指令等。</w:t>
      </w:r>
    </w:p>
    <w:p w14:paraId="251531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2.不可抗力发生后，乙方第一时间通知甲方，并采取措施减少工程损失，工期据实顺延；因乙方迟延施工后遭遇不可抗力的，工期不予顺延，乙方承担全部违约责任。</w:t>
      </w:r>
    </w:p>
    <w:p w14:paraId="710FA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3.不可抗力造成工程损毁的，双方互不承担违约责任，损失各自承担。</w:t>
      </w:r>
    </w:p>
    <w:p w14:paraId="0BE0D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七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条 合同解除</w:t>
      </w:r>
    </w:p>
    <w:p w14:paraId="06264B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发生以下情形之一，甲方有权单方解除本合同，乙方需赔偿甲方全部损失： </w:t>
      </w:r>
    </w:p>
    <w:p w14:paraId="453135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1.乙方施工质量多次整改仍无法达到合格标准；</w:t>
      </w:r>
    </w:p>
    <w:p w14:paraId="5D8AF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2.乙方无故停工超过7日，逾期无法完工；</w:t>
      </w:r>
    </w:p>
    <w:p w14:paraId="2EF35B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3.乙方存在严重安全违规、拖欠工人工资、使用不合格材料等重大违约行为；</w:t>
      </w:r>
    </w:p>
    <w:p w14:paraId="4754F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4.因不可抗力导致工程完全无法继续施工。</w:t>
      </w:r>
    </w:p>
    <w:p w14:paraId="039865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5.合同解除后，乙方立即撤出施工现场，已完合格工程按合同约定结算，不合格工程不予结算，乙方自行承担全部损失。</w:t>
      </w:r>
    </w:p>
    <w:p w14:paraId="07863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八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条 合同终止</w:t>
      </w:r>
    </w:p>
    <w:p w14:paraId="4A0FD3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本合同项下工程竣工验收合格、质保期届满、甲方付清全部合同款项、乙方完成全部质保义务后，本合同自动终止。</w:t>
      </w:r>
    </w:p>
    <w:p w14:paraId="6BF6CB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十九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条 合同份数</w:t>
      </w:r>
    </w:p>
    <w:p w14:paraId="7B0BD2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本合同一式____份，甲方执____份，乙方执____份，具有同等法律效力。</w:t>
      </w:r>
    </w:p>
    <w:p w14:paraId="44A8C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第二十条 补充条款</w:t>
      </w:r>
    </w:p>
    <w:p w14:paraId="3A913E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________________________________________________________________</w:t>
      </w:r>
    </w:p>
    <w:p w14:paraId="6A86A9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________________________________________________________________</w:t>
      </w:r>
    </w:p>
    <w:p w14:paraId="07D15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第二十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条 合同生效</w:t>
      </w:r>
    </w:p>
    <w:p w14:paraId="7C7C32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本合同经甲乙双方法定代表人或委托代理人签字并加盖公章（或合同专用章）之日起生效。</w:t>
      </w:r>
    </w:p>
    <w:p w14:paraId="364F69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01230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附件：工程设计图纸</w:t>
      </w:r>
      <w:bookmarkStart w:id="1" w:name="_GoBack"/>
      <w:bookmarkEnd w:id="1"/>
    </w:p>
    <w:p w14:paraId="2EB950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tbl>
      <w:tblPr>
        <w:tblStyle w:val="3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5"/>
        <w:gridCol w:w="3867"/>
      </w:tblGrid>
      <w:tr w14:paraId="376A4660">
        <w:trPr>
          <w:trHeight w:val="424" w:hRule="atLeast"/>
          <w:jc w:val="center"/>
        </w:trPr>
        <w:tc>
          <w:tcPr>
            <w:tcW w:w="4961" w:type="dxa"/>
          </w:tcPr>
          <w:p w14:paraId="29A9C5D1">
            <w:pPr>
              <w:spacing w:line="37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甲    方</w:t>
            </w:r>
          </w:p>
        </w:tc>
        <w:tc>
          <w:tcPr>
            <w:tcW w:w="4109" w:type="dxa"/>
          </w:tcPr>
          <w:p w14:paraId="3BD8B7A9">
            <w:pPr>
              <w:spacing w:line="37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乙    方</w:t>
            </w:r>
          </w:p>
        </w:tc>
      </w:tr>
      <w:tr w14:paraId="43BDA0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61" w:type="dxa"/>
          </w:tcPr>
          <w:p w14:paraId="54728B67">
            <w:pPr>
              <w:spacing w:line="370" w:lineRule="exact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单位名称（盖章）：</w:t>
            </w:r>
          </w:p>
        </w:tc>
        <w:tc>
          <w:tcPr>
            <w:tcW w:w="4109" w:type="dxa"/>
          </w:tcPr>
          <w:p w14:paraId="1724D61A">
            <w:pPr>
              <w:spacing w:line="370" w:lineRule="exact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单位名称（盖章）：</w:t>
            </w:r>
          </w:p>
        </w:tc>
      </w:tr>
      <w:tr w14:paraId="2D0E37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961" w:type="dxa"/>
            <w:vAlign w:val="center"/>
          </w:tcPr>
          <w:p w14:paraId="70C82907">
            <w:pPr>
              <w:pStyle w:val="2"/>
              <w:spacing w:line="32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bookmarkStart w:id="0" w:name="_Hlk108796636"/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法定代表人或委托代理人</w:t>
            </w:r>
            <w:bookmarkEnd w:id="0"/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：</w:t>
            </w:r>
          </w:p>
        </w:tc>
        <w:tc>
          <w:tcPr>
            <w:tcW w:w="4109" w:type="dxa"/>
            <w:vAlign w:val="center"/>
          </w:tcPr>
          <w:p w14:paraId="1115D50E">
            <w:pPr>
              <w:pStyle w:val="2"/>
              <w:spacing w:line="32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法定代表人或委托</w:t>
            </w:r>
          </w:p>
        </w:tc>
      </w:tr>
      <w:tr w14:paraId="446F73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4961" w:type="dxa"/>
            <w:vAlign w:val="center"/>
          </w:tcPr>
          <w:p w14:paraId="3D4F0448">
            <w:pPr>
              <w:pStyle w:val="2"/>
              <w:spacing w:line="320" w:lineRule="exac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109" w:type="dxa"/>
            <w:vAlign w:val="center"/>
          </w:tcPr>
          <w:p w14:paraId="1CDCEC15">
            <w:pPr>
              <w:pStyle w:val="2"/>
              <w:spacing w:line="320" w:lineRule="exac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代理人（签字）：</w:t>
            </w:r>
          </w:p>
        </w:tc>
      </w:tr>
      <w:tr w14:paraId="70CFC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61" w:type="dxa"/>
            <w:vAlign w:val="center"/>
          </w:tcPr>
          <w:p w14:paraId="575860C3">
            <w:pPr>
              <w:pStyle w:val="2"/>
              <w:spacing w:line="32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地址：</w:t>
            </w:r>
          </w:p>
        </w:tc>
        <w:tc>
          <w:tcPr>
            <w:tcW w:w="4109" w:type="dxa"/>
            <w:vAlign w:val="center"/>
          </w:tcPr>
          <w:p w14:paraId="6F4E19D3">
            <w:pPr>
              <w:pStyle w:val="2"/>
              <w:spacing w:line="32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地址：</w:t>
            </w:r>
          </w:p>
        </w:tc>
      </w:tr>
      <w:tr w14:paraId="5A81AE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61" w:type="dxa"/>
            <w:vAlign w:val="center"/>
          </w:tcPr>
          <w:p w14:paraId="7D8A104B">
            <w:pPr>
              <w:pStyle w:val="2"/>
              <w:spacing w:line="32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税号：</w:t>
            </w:r>
          </w:p>
        </w:tc>
        <w:tc>
          <w:tcPr>
            <w:tcW w:w="4109" w:type="dxa"/>
            <w:vAlign w:val="center"/>
          </w:tcPr>
          <w:p w14:paraId="31DB8705">
            <w:pPr>
              <w:pStyle w:val="2"/>
              <w:spacing w:line="32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社会统一信用代码：</w:t>
            </w:r>
          </w:p>
        </w:tc>
      </w:tr>
      <w:tr w14:paraId="6F4055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61" w:type="dxa"/>
            <w:vAlign w:val="center"/>
          </w:tcPr>
          <w:p w14:paraId="508B0D4D">
            <w:pPr>
              <w:pStyle w:val="2"/>
              <w:spacing w:line="32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开户银行：</w:t>
            </w:r>
          </w:p>
        </w:tc>
        <w:tc>
          <w:tcPr>
            <w:tcW w:w="4109" w:type="dxa"/>
            <w:vAlign w:val="center"/>
          </w:tcPr>
          <w:p w14:paraId="3CAE7537">
            <w:pPr>
              <w:pStyle w:val="2"/>
              <w:spacing w:line="32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开户银行：</w:t>
            </w:r>
          </w:p>
        </w:tc>
      </w:tr>
      <w:tr w14:paraId="6C1B35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61" w:type="dxa"/>
            <w:vAlign w:val="center"/>
          </w:tcPr>
          <w:p w14:paraId="1D6FFC61">
            <w:pPr>
              <w:pStyle w:val="2"/>
              <w:spacing w:line="32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账号：</w:t>
            </w:r>
          </w:p>
        </w:tc>
        <w:tc>
          <w:tcPr>
            <w:tcW w:w="4109" w:type="dxa"/>
            <w:vAlign w:val="center"/>
          </w:tcPr>
          <w:p w14:paraId="34C7C663">
            <w:pPr>
              <w:pStyle w:val="2"/>
              <w:spacing w:line="32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账号：</w:t>
            </w:r>
          </w:p>
        </w:tc>
      </w:tr>
      <w:tr w14:paraId="30063E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4961" w:type="dxa"/>
            <w:vAlign w:val="center"/>
          </w:tcPr>
          <w:p w14:paraId="5D927E10">
            <w:pPr>
              <w:pStyle w:val="2"/>
              <w:spacing w:line="32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时间：      年     月     日</w:t>
            </w:r>
          </w:p>
        </w:tc>
        <w:tc>
          <w:tcPr>
            <w:tcW w:w="4109" w:type="dxa"/>
            <w:vAlign w:val="center"/>
          </w:tcPr>
          <w:p w14:paraId="276080D1">
            <w:pPr>
              <w:pStyle w:val="2"/>
              <w:spacing w:line="32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时间：      年     月     日</w:t>
            </w:r>
          </w:p>
        </w:tc>
      </w:tr>
    </w:tbl>
    <w:p w14:paraId="685DE374">
      <w:pPr>
        <w:pStyle w:val="5"/>
        <w:rPr>
          <w:rFonts w:hint="eastAsia"/>
          <w:lang w:val="en-US" w:eastAsia="zh-Hans"/>
        </w:rPr>
      </w:pPr>
    </w:p>
    <w:p w14:paraId="5AEC493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F2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rPr>
      <w:sz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2026-06-18T09:13:31Z</dcterms:created>
  <dc:creator>xb19</dc:creator>
  <cp:lastModifiedBy>xb19</cp:lastModifiedBy>
  <dcterms:modified xsi:type="dcterms:W3CDTF">2026-06-18T09:13:46Z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eyJoZGlkIjoiZTA1OTEyZDI1Y2RmODkxZWU5ZGZiODZmZTBlMjkxMTEiLCJ1c2VySWQiOiIzMjAxODgyOTIifQ==</vt:lpwstr>
  </property>
  <property fmtid="{D5CDD505-2E9C-101B-9397-08002B2CF9AE}" pid="4" name="ICV">
    <vt:lpwstr>12BD1C9B26C74BE59F978FB6703A68DF_12</vt:lpwstr>
  </property>
</Properties>
</file>