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版本号：JXRZ-HC-2026-09220260713001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2026年艾滋病扩大筛查检测试剂采购项目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JXRZ-HC-2026-092</w:t>
      </w:r>
      <w:r>
        <w:br/>
      </w:r>
      <w:r>
        <w:br/>
      </w:r>
      <w:r>
        <w:br/>
      </w:r>
    </w:p>
    <w:p>
      <w:pPr>
        <w:pStyle w:val="null3"/>
        <w:jc w:val="center"/>
        <w:outlineLvl w:val="2"/>
      </w:pPr>
      <w:r>
        <w:rPr>
          <w:rFonts w:ascii="仿宋_GB2312" w:hAnsi="仿宋_GB2312" w:cs="仿宋_GB2312" w:eastAsia="仿宋_GB2312"/>
          <w:sz w:val="28"/>
          <w:b/>
        </w:rPr>
        <w:t>汉中市疾病预防控制中心</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汉中市疾病预防控制中心</w:t>
      </w:r>
      <w:r>
        <w:rPr>
          <w:rFonts w:ascii="仿宋_GB2312" w:hAnsi="仿宋_GB2312" w:cs="仿宋_GB2312" w:eastAsia="仿宋_GB2312"/>
        </w:rPr>
        <w:t>委托，拟对</w:t>
      </w:r>
      <w:r>
        <w:rPr>
          <w:rFonts w:ascii="仿宋_GB2312" w:hAnsi="仿宋_GB2312" w:cs="仿宋_GB2312" w:eastAsia="仿宋_GB2312"/>
        </w:rPr>
        <w:t>2026年艾滋病扩大筛查检测试剂采购项目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JXRZ-HC-2026-092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2026年艾滋病扩大筛查检测试剂采购项目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拟采购艾滋病扩大筛查检测试剂一批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采购包1（2026年艾滋病扩大筛查检测试剂采购项目）：属于专门面向中小企业采购。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投标产品属于第三类医疗器械管理范畴，所有投标人须提供投标产品有效的医疗器械注册证。投标人为经销商的，须具有有效的第三类医疗器械经营许可证，且投标产品所属类别须在其许可经营范围内；投标人为产品生产厂家的，须具有有效的医疗器械生产许可证，且投标产品所属类别须在其许可生产范围内，无需提供医疗器械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汉中市天汉大道953号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0916-2217773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汉中市汉台区西环南路祥瑞四季印象商铺2层208号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李永涛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151719163880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代理服务费收费标准：采购代理服务费以中标（成交）供应商的中标（成交）金额为基数，按照《国家计委关于印发&lt;采购代理服务收费管理暂行办法&gt;的通知》（计价格[2002]1980号）规定收取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汉中市疾病预防控制中心</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汉中市疾病预防控制中心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陕西锦鑫睿泽项目管理有限公司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商务条款全部符合合同约定，所有交付⽂件⻬全、合法有效；2、验收资料完整，验收记录规范，参与验收⼈员签字齐全；3、货物单证⻬全，应有产品合格证、质量证明、使⽤说明、保修保质证明、发票和其他应当具有的单证，并符合国家法律、法规对该产品规定的国家标准的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联系人：李永涛</w:t>
      </w:r>
    </w:p>
    <w:p>
      <w:pPr>
        <w:pStyle w:val="null3"/>
      </w:pPr>
      <w:r>
        <w:rPr>
          <w:rFonts w:ascii="仿宋_GB2312" w:hAnsi="仿宋_GB2312" w:cs="仿宋_GB2312" w:eastAsia="仿宋_GB2312"/>
        </w:rPr>
        <w:t>联系电话：15719163880</w:t>
      </w:r>
    </w:p>
    <w:p>
      <w:pPr>
        <w:pStyle w:val="null3"/>
      </w:pPr>
      <w:r>
        <w:rPr>
          <w:rFonts w:ascii="仿宋_GB2312" w:hAnsi="仿宋_GB2312" w:cs="仿宋_GB2312" w:eastAsia="仿宋_GB2312"/>
        </w:rPr>
        <w:t>地址：汉中市汉台区西环南路祥瑞四季印象商铺2层208号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拟采购艾滋病扩大筛查检测试剂一批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艾滋病筛查快检试剂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标的名称：艾滋病筛查快检试剂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1.包装规格：板型单人份包装；</w:t>
            </w:r>
            <w:r>
              <w:br/>
            </w:r>
            <w:r>
              <w:rPr>
                <w:rFonts w:ascii="仿宋_GB2312" w:hAnsi="仿宋_GB2312" w:cs="仿宋_GB2312" w:eastAsia="仿宋_GB2312"/>
              </w:rPr>
              <w:t xml:space="preserve"> 2.检测原理：胶体金法或乳胶法；</w:t>
            </w:r>
            <w:r>
              <w:br/>
            </w:r>
            <w:r>
              <w:rPr>
                <w:rFonts w:ascii="仿宋_GB2312" w:hAnsi="仿宋_GB2312" w:cs="仿宋_GB2312" w:eastAsia="仿宋_GB2312"/>
              </w:rPr>
              <w:t xml:space="preserve"> 3.检测样本：人血清、血浆或全血，样品加样量≤50ul；</w:t>
            </w:r>
            <w:r>
              <w:br/>
            </w:r>
            <w:r>
              <w:rPr>
                <w:rFonts w:ascii="仿宋_GB2312" w:hAnsi="仿宋_GB2312" w:cs="仿宋_GB2312" w:eastAsia="仿宋_GB2312"/>
              </w:rPr>
              <w:t xml:space="preserve"> 4.反应时间≤13分钟；</w:t>
            </w:r>
            <w:r>
              <w:br/>
            </w:r>
            <w:r>
              <w:rPr>
                <w:rFonts w:ascii="仿宋_GB2312" w:hAnsi="仿宋_GB2312" w:cs="仿宋_GB2312" w:eastAsia="仿宋_GB2312"/>
              </w:rPr>
              <w:t xml:space="preserve"> 5.有效期≥24个月；</w:t>
            </w:r>
            <w:r>
              <w:br/>
            </w:r>
            <w:r>
              <w:rPr>
                <w:rFonts w:ascii="仿宋_GB2312" w:hAnsi="仿宋_GB2312" w:cs="仿宋_GB2312" w:eastAsia="仿宋_GB2312"/>
              </w:rPr>
              <w:t xml:space="preserve"> 6.敏感度≥99.5%、特异性≥99.5%。</w:t>
            </w:r>
          </w:p>
          <w:p>
            <w:pPr>
              <w:pStyle w:val="null3"/>
            </w:pPr>
            <w:r>
              <w:rPr>
                <w:rFonts w:ascii="仿宋_GB2312" w:hAnsi="仿宋_GB2312" w:cs="仿宋_GB2312" w:eastAsia="仿宋_GB2312"/>
              </w:rPr>
              <w:t>以上参数需提供相应的佐证材料（包括但不限于产品的产品说明书、检测报告、技术白皮书、产品官方网站公开规格参数截图等）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供货期：合同签订后30⽇历天内完成；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在⼄⽅提出书⾯验收申请之⽇起7⽇内，组织验收⼯作。验收由甲⽅指定单位及⼈员进⾏验收，验收合格后出具书⾯验收合格证明，作为对产品的最终认可。2、验收依据：单证⻬全，应有产品合格证、质量证明、使⽤说明、保修保质证明、发票和其他应当具有的单证，并符合国家法律、法规对该产品规定的国家标准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详⻅拟签订的合同⽂本</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详⻅拟签订的合同⽂本</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本项⽬报价形式为固定总价下的数量报价，即总价固定48万元，全部实质性响应采购⽂件的供应商，按48万元可供应试剂总⼈份数量从多到少排序，供应试剂总⼈份数量最多的为第⼀成交候选⼈；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产品属于第三类医疗器械管理范畴，所有投标人须提供投标产品有效的医疗器械注册证。投标人为经销商的，须具有有效的第三类医疗器械经营许可证，且投标产品所属类别须在其许可经营范围内；投标人为产品生产厂家的，须具有有效的医疗器械生产许可证，且投标产品所属类别须在其许可生产范围内，无需提供医疗器械经营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响应⽂件未出现招标⽂件、法律法规规定的⽆效响应情形；供应商所投产品应全部满⾜采购⽂件要求，不得出现负偏离，否则为⾮实质性响应</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采购内容</w:t>
            </w:r>
          </w:p>
        </w:tc>
        <w:tc>
          <w:tcPr>
            <w:tcW w:type="dxa" w:w="3322"/>
          </w:tcPr>
          <w:p>
            <w:pPr>
              <w:pStyle w:val="null3"/>
            </w:pPr>
            <w:r>
              <w:rPr>
                <w:rFonts w:ascii="仿宋_GB2312" w:hAnsi="仿宋_GB2312" w:cs="仿宋_GB2312" w:eastAsia="仿宋_GB2312"/>
              </w:rPr>
              <w:t>响应⽂件所投产品完全响应采购文件采购内容技术参数，不得出现负偏离</w:t>
            </w:r>
          </w:p>
        </w:tc>
        <w:tc>
          <w:tcPr>
            <w:tcW w:type="dxa" w:w="1661"/>
          </w:tcPr>
          <w:p>
            <w:pPr>
              <w:pStyle w:val="null3"/>
            </w:pPr>
            <w:r>
              <w:rPr>
                <w:rFonts w:ascii="仿宋_GB2312" w:hAnsi="仿宋_GB2312" w:cs="仿宋_GB2312" w:eastAsia="仿宋_GB2312"/>
              </w:rPr>
              <w:t>响应文件封面 产品技术参数表 商务应答表 标的清单</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（1）投标（响应）报价高于全部通过符合性审查供应商投标（响应）报价平均值50%的，即投标（响应）报价&gt;全部通过符合性审查供应商投标（响应）报价平均值×(1+50%)。</w:t>
              <w:br/>
              <w:t>（2）投标（响应）报价高于通过符合性审查且报价次低供应商投标（响应）报价50%的，即投标（响应）报价&gt;通过符合性审查且报价次低供应商投标（响应）报价×(1+50%)。</w:t>
              <w:br/>
              <w:t>（3）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