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谈判响应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BCB73B">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0DF6D99F">
      <w:pPr>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投标产品属于第三类医疗器械管理</w:t>
      </w:r>
      <w:bookmarkStart w:id="1" w:name="_GoBack"/>
      <w:bookmarkEnd w:id="1"/>
      <w:r>
        <w:rPr>
          <w:rFonts w:hint="eastAsia" w:ascii="宋体" w:hAnsi="宋体" w:cs="宋体"/>
          <w:b/>
          <w:bCs/>
          <w:sz w:val="28"/>
          <w:szCs w:val="28"/>
          <w:u w:val="none"/>
          <w:lang w:val="en-US" w:eastAsia="zh-CN"/>
        </w:rPr>
        <w:t>范畴，所有投标人须提供投标产品有效的医疗器械注册证。投标人为经销商的，须具有有效的第三类医疗器械经营许可证，且投标产品所属类别须在其许可经营范围内；投标人为产品生产厂家的，须具有有效的医疗器械生产许可证，且投标产品所属类别须在其许可生产范围内，无需提供医疗器械经营许可证；</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69BE"/>
    <w:rsid w:val="08EF454F"/>
    <w:rsid w:val="17006300"/>
    <w:rsid w:val="32A95258"/>
    <w:rsid w:val="45437DBB"/>
    <w:rsid w:val="544E2F80"/>
    <w:rsid w:val="547A2F89"/>
    <w:rsid w:val="62350DEF"/>
    <w:rsid w:val="6420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1008</Words>
  <Characters>1050</Characters>
  <Lines>0</Lines>
  <Paragraphs>0</Paragraphs>
  <TotalTime>4</TotalTime>
  <ScaleCrop>false</ScaleCrop>
  <LinksUpToDate>false</LinksUpToDate>
  <CharactersWithSpaces>1558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2026-07-13T08:45:03Z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789356DF72A64D60812DDBE7DCC19441_13</vt:lpwstr>
  </property>
</Properties>
</file>