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86557">
      <w:pPr>
        <w:pStyle w:val="4"/>
        <w:jc w:val="center"/>
        <w:outlineLvl w:val="0"/>
        <w:rPr>
          <w:rFonts w:hint="default" w:ascii="宋体" w:hAnsi="宋体" w:eastAsia="宋体" w:cs="宋体"/>
          <w:color w:val="000000"/>
          <w:sz w:val="44"/>
          <w:szCs w:val="44"/>
          <w:highlight w:val="none"/>
          <w:lang w:val="en-US" w:eastAsia="zh-CN"/>
        </w:rPr>
      </w:pPr>
      <w:r>
        <w:rPr>
          <w:rFonts w:hint="eastAsia" w:ascii="宋体" w:hAnsi="宋体" w:eastAsia="宋体" w:cs="宋体"/>
          <w:color w:val="000000"/>
          <w:sz w:val="44"/>
          <w:szCs w:val="44"/>
          <w:highlight w:val="none"/>
        </w:rPr>
        <w:t>政府采购合同格式</w:t>
      </w:r>
      <w:r>
        <w:rPr>
          <w:rFonts w:hint="eastAsia" w:ascii="宋体" w:cs="宋体"/>
          <w:color w:val="000000"/>
          <w:sz w:val="44"/>
          <w:szCs w:val="44"/>
          <w:highlight w:val="none"/>
          <w:lang w:eastAsia="zh-CN"/>
        </w:rPr>
        <w:t>（</w:t>
      </w:r>
      <w:r>
        <w:rPr>
          <w:rFonts w:hint="eastAsia" w:ascii="宋体" w:cs="宋体"/>
          <w:color w:val="000000"/>
          <w:sz w:val="44"/>
          <w:szCs w:val="44"/>
          <w:highlight w:val="none"/>
          <w:lang w:val="en-US" w:eastAsia="zh-CN"/>
        </w:rPr>
        <w:t>范本）</w:t>
      </w:r>
    </w:p>
    <w:p w14:paraId="4BF776BB">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合同编号： </w:t>
      </w:r>
    </w:p>
    <w:p w14:paraId="29FCF1FA">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签订地点： </w:t>
      </w:r>
    </w:p>
    <w:p w14:paraId="3BB81E06">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签订时间:</w:t>
      </w:r>
    </w:p>
    <w:p w14:paraId="0C659DB8">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采购人（甲方）：</w:t>
      </w:r>
    </w:p>
    <w:p w14:paraId="0257752F">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lang w:val="en-US" w:eastAsia="zh-CN"/>
        </w:rPr>
        <w:t>供应商</w:t>
      </w:r>
      <w:r>
        <w:rPr>
          <w:rFonts w:hint="eastAsia"/>
          <w:color w:val="000000"/>
          <w:sz w:val="21"/>
          <w:szCs w:val="21"/>
          <w:highlight w:val="none"/>
        </w:rPr>
        <w:t>（乙方）：</w:t>
      </w:r>
    </w:p>
    <w:p w14:paraId="5410345A">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根据《中华人民共和国政府采购法》及实施条例、《中华人民共和国</w:t>
      </w:r>
      <w:r>
        <w:rPr>
          <w:rFonts w:hint="eastAsia"/>
          <w:color w:val="000000"/>
          <w:sz w:val="21"/>
          <w:szCs w:val="21"/>
          <w:highlight w:val="none"/>
          <w:lang w:eastAsia="zh-CN"/>
        </w:rPr>
        <w:t>民法典</w:t>
      </w:r>
      <w:r>
        <w:rPr>
          <w:rFonts w:hint="eastAsia"/>
          <w:color w:val="000000"/>
          <w:sz w:val="21"/>
          <w:szCs w:val="21"/>
          <w:highlight w:val="none"/>
        </w:rPr>
        <w:t>》和甲方</w:t>
      </w:r>
      <w:r>
        <w:rPr>
          <w:rFonts w:hint="eastAsia"/>
          <w:color w:val="000000"/>
          <w:sz w:val="21"/>
          <w:szCs w:val="21"/>
          <w:highlight w:val="none"/>
          <w:u w:val="single"/>
        </w:rPr>
        <w:t xml:space="preserve">                </w:t>
      </w:r>
      <w:r>
        <w:rPr>
          <w:rFonts w:hint="eastAsia"/>
          <w:color w:val="000000"/>
          <w:sz w:val="21"/>
          <w:szCs w:val="21"/>
          <w:highlight w:val="none"/>
        </w:rPr>
        <w:t>采购项目（采购项目编号：</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 </w:t>
      </w:r>
      <w:r>
        <w:rPr>
          <w:rFonts w:hint="eastAsia"/>
          <w:color w:val="000000"/>
          <w:sz w:val="21"/>
          <w:szCs w:val="21"/>
          <w:highlight w:val="none"/>
          <w:u w:val="single"/>
        </w:rPr>
        <w:t xml:space="preserve">      </w:t>
      </w:r>
      <w:r>
        <w:rPr>
          <w:rFonts w:hint="eastAsia"/>
          <w:color w:val="000000"/>
          <w:sz w:val="21"/>
          <w:szCs w:val="21"/>
          <w:highlight w:val="none"/>
        </w:rPr>
        <w:t>）的招标文件、投标文件等有关规定，为确保甲方采购项目的顺利实施，甲、乙双方在平等自愿原则下签订本合同，并共同遵守如下条款：</w:t>
      </w:r>
    </w:p>
    <w:p w14:paraId="3BE6170B">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第一条  项目基本情况</w:t>
      </w:r>
    </w:p>
    <w:p w14:paraId="1CE895DE">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b w:val="0"/>
          <w:bCs w:val="0"/>
          <w:color w:val="000000"/>
          <w:sz w:val="21"/>
          <w:szCs w:val="21"/>
          <w:highlight w:val="none"/>
        </w:rPr>
      </w:pPr>
      <w:r>
        <w:rPr>
          <w:rFonts w:hint="eastAsia"/>
          <w:b w:val="0"/>
          <w:bCs w:val="0"/>
          <w:color w:val="000000"/>
          <w:sz w:val="21"/>
          <w:szCs w:val="21"/>
          <w:highlight w:val="none"/>
          <w:lang w:val="en-US" w:eastAsia="zh-CN"/>
        </w:rPr>
        <w:t>2</w:t>
      </w:r>
      <w:bookmarkStart w:id="52" w:name="_GoBack"/>
      <w:r>
        <w:rPr>
          <w:rFonts w:hint="eastAsia"/>
          <w:b w:val="0"/>
          <w:bCs w:val="0"/>
          <w:color w:val="000000"/>
          <w:sz w:val="21"/>
          <w:szCs w:val="21"/>
          <w:highlight w:val="none"/>
          <w:lang w:val="en-US" w:eastAsia="zh-CN"/>
        </w:rPr>
        <w:t>026年残疾人居家安养服务项目</w:t>
      </w:r>
      <w:bookmarkEnd w:id="52"/>
      <w:r>
        <w:rPr>
          <w:rFonts w:hint="eastAsia"/>
          <w:b w:val="0"/>
          <w:bCs w:val="0"/>
          <w:color w:val="000000"/>
          <w:sz w:val="21"/>
          <w:szCs w:val="21"/>
          <w:highlight w:val="none"/>
          <w:lang w:val="en-US" w:eastAsia="zh-CN"/>
        </w:rPr>
        <w:t>以社区(村)和社会服务机构为单位，建立社会化服务体系，采取定期上门、计时服务等形式，为分散居住在家、不适宜或不愿意到机构中的残疾人提供生活照料、康复养护、心理疏导等居家生活服务。</w:t>
      </w:r>
    </w:p>
    <w:p w14:paraId="7B097896">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eastAsia="宋体"/>
          <w:b/>
          <w:bCs/>
          <w:color w:val="000000"/>
          <w:sz w:val="21"/>
          <w:szCs w:val="21"/>
          <w:highlight w:val="none"/>
          <w:lang w:eastAsia="zh-CN"/>
        </w:rPr>
      </w:pPr>
      <w:r>
        <w:rPr>
          <w:rFonts w:hint="eastAsia"/>
          <w:b/>
          <w:bCs/>
          <w:color w:val="000000"/>
          <w:sz w:val="21"/>
          <w:szCs w:val="21"/>
          <w:highlight w:val="none"/>
        </w:rPr>
        <w:t xml:space="preserve">第二条  </w:t>
      </w:r>
      <w:r>
        <w:rPr>
          <w:rFonts w:hint="eastAsia"/>
          <w:b w:val="0"/>
          <w:bCs w:val="0"/>
          <w:color w:val="000000"/>
          <w:sz w:val="21"/>
          <w:szCs w:val="21"/>
          <w:highlight w:val="none"/>
          <w:lang w:eastAsia="zh-CN"/>
        </w:rPr>
        <w:t>服务期限</w:t>
      </w:r>
      <w:r>
        <w:rPr>
          <w:rFonts w:hint="eastAsia"/>
          <w:b w:val="0"/>
          <w:bCs w:val="0"/>
          <w:color w:val="000000"/>
          <w:sz w:val="21"/>
          <w:szCs w:val="21"/>
          <w:highlight w:val="none"/>
        </w:rPr>
        <w:t>：</w:t>
      </w:r>
      <w:r>
        <w:rPr>
          <w:rFonts w:hint="eastAsia" w:ascii="宋体" w:hAnsi="宋体" w:eastAsia="宋体"/>
          <w:b w:val="0"/>
          <w:bCs w:val="0"/>
          <w:color w:val="000000"/>
          <w:sz w:val="21"/>
          <w:szCs w:val="21"/>
          <w:highlight w:val="none"/>
        </w:rPr>
        <w:t>自合同签订之日起至2026年12月15日。（如遇不可抗力因素，视情况协商而定）。</w:t>
      </w:r>
    </w:p>
    <w:p w14:paraId="4B550AE7">
      <w:pPr>
        <w:pStyle w:val="3"/>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bookmarkStart w:id="0" w:name="_Toc232492928"/>
      <w:bookmarkStart w:id="1" w:name="_Toc283019214"/>
      <w:bookmarkStart w:id="2" w:name="_Toc251768862"/>
      <w:bookmarkStart w:id="3" w:name="_Toc286993786"/>
      <w:bookmarkStart w:id="4" w:name="_Toc239233914"/>
      <w:bookmarkStart w:id="5" w:name="_Toc225670751"/>
      <w:bookmarkStart w:id="6" w:name="_Toc247334841"/>
      <w:bookmarkStart w:id="7" w:name="_Toc185395249"/>
      <w:bookmarkStart w:id="8" w:name="_Toc238984975"/>
      <w:bookmarkStart w:id="9" w:name="_Toc225244852"/>
      <w:bookmarkStart w:id="10" w:name="_Toc282696226"/>
      <w:bookmarkStart w:id="11" w:name="_Toc211854449"/>
      <w:bookmarkStart w:id="12" w:name="_Toc241833903"/>
      <w:bookmarkStart w:id="13" w:name="_Toc212019594"/>
      <w:bookmarkStart w:id="14" w:name="_Toc237145406"/>
      <w:bookmarkStart w:id="15" w:name="_Toc239568418"/>
      <w:bookmarkStart w:id="16" w:name="_Toc211911348"/>
      <w:bookmarkStart w:id="17" w:name="_Toc225654644"/>
      <w:r>
        <w:rPr>
          <w:rFonts w:hint="eastAsia"/>
          <w:b/>
          <w:bCs/>
          <w:color w:val="000000"/>
          <w:sz w:val="21"/>
          <w:szCs w:val="21"/>
          <w:highlight w:val="none"/>
        </w:rPr>
        <w:t xml:space="preserve"> 服务内容与</w:t>
      </w:r>
      <w:r>
        <w:rPr>
          <w:rFonts w:hint="eastAsia"/>
          <w:b/>
          <w:bCs/>
          <w:color w:val="000000"/>
          <w:sz w:val="21"/>
          <w:szCs w:val="21"/>
          <w:highlight w:val="none"/>
          <w:lang w:val="en-US" w:eastAsia="zh-CN"/>
        </w:rPr>
        <w:t>相关</w:t>
      </w:r>
      <w:r>
        <w:rPr>
          <w:rFonts w:hint="eastAsia"/>
          <w:b/>
          <w:bCs/>
          <w:color w:val="000000"/>
          <w:sz w:val="21"/>
          <w:szCs w:val="21"/>
          <w:highlight w:val="none"/>
        </w:rPr>
        <w:t>标准</w:t>
      </w:r>
    </w:p>
    <w:p w14:paraId="36FB0A97">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eastAsia="zh-CN"/>
        </w:rPr>
      </w:pPr>
      <w:r>
        <w:rPr>
          <w:rFonts w:hint="eastAsia" w:ascii="宋体" w:hAnsi="宋体"/>
          <w:color w:val="000000"/>
          <w:szCs w:val="21"/>
          <w:highlight w:val="none"/>
          <w:lang w:val="en-US" w:eastAsia="zh-CN"/>
        </w:rPr>
        <w:t>1</w:t>
      </w:r>
      <w:r>
        <w:rPr>
          <w:rFonts w:hint="eastAsia" w:ascii="宋体" w:hAnsi="宋体"/>
          <w:color w:val="000000"/>
          <w:szCs w:val="21"/>
          <w:highlight w:val="none"/>
          <w:lang w:eastAsia="zh-CN"/>
        </w:rPr>
        <w:t>.服务人数要求：</w:t>
      </w:r>
    </w:p>
    <w:p w14:paraId="1E338021">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eastAsia="zh-CN"/>
        </w:rPr>
      </w:pPr>
      <w:r>
        <w:rPr>
          <w:rFonts w:hint="eastAsia" w:ascii="宋体" w:hAnsi="宋体"/>
          <w:color w:val="000000"/>
          <w:szCs w:val="21"/>
          <w:highlight w:val="none"/>
          <w:lang w:eastAsia="zh-CN"/>
        </w:rPr>
        <w:t>本次预算共计可服务</w:t>
      </w:r>
      <w:r>
        <w:rPr>
          <w:rFonts w:hint="eastAsia" w:ascii="宋体" w:hAnsi="宋体"/>
          <w:color w:val="000000"/>
          <w:szCs w:val="21"/>
          <w:highlight w:val="none"/>
          <w:lang w:val="en-US" w:eastAsia="zh-CN"/>
        </w:rPr>
        <w:t>20</w:t>
      </w:r>
      <w:r>
        <w:rPr>
          <w:rFonts w:hint="eastAsia" w:ascii="宋体" w:hAnsi="宋体"/>
          <w:color w:val="000000"/>
          <w:szCs w:val="21"/>
          <w:highlight w:val="none"/>
          <w:lang w:eastAsia="zh-CN"/>
        </w:rPr>
        <w:t>0人。</w:t>
      </w:r>
    </w:p>
    <w:p w14:paraId="16DBB8E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（一）生活照料和护理</w:t>
      </w:r>
    </w:p>
    <w:p w14:paraId="5BF6762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1.承担或协助服务对象整理家庭环境卫生。</w:t>
      </w:r>
    </w:p>
    <w:p w14:paraId="6B40E6BA">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2.承担或协助服务对象整理个人卫生。</w:t>
      </w:r>
    </w:p>
    <w:p w14:paraId="7C22514F">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3.上门送餐或在服务对象家中协助准备膳食，可根据情况提供帮助进食服务。</w:t>
      </w:r>
    </w:p>
    <w:p w14:paraId="7E35E13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4.经过合法的委托手续，可协助办理家庭日常事务。</w:t>
      </w:r>
    </w:p>
    <w:p w14:paraId="15E0AA9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5.可陪同在服务对象居住附近安全合理的地区进行户外活动。</w:t>
      </w:r>
    </w:p>
    <w:p w14:paraId="413720AE">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6.其他合法、安全并经所在服务机构批准同意提供的服务。</w:t>
      </w:r>
    </w:p>
    <w:p w14:paraId="41C160A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（二）社会适应能力辅导</w:t>
      </w:r>
    </w:p>
    <w:p w14:paraId="44FD8268">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1.根据个别化居家托养方案，辅导服务对象的社会适应能力，并适时调整计划。</w:t>
      </w:r>
    </w:p>
    <w:p w14:paraId="15C52F3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2.协助有需要的服务对象通过网络、电视、广播、报纸杂志等多种方式了解新闻和知识。</w:t>
      </w:r>
    </w:p>
    <w:p w14:paraId="32268ECA">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3.对有需求的服务对象提供简单的家务劳动训练和辅导。</w:t>
      </w:r>
    </w:p>
    <w:p w14:paraId="0964DEC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4.对服务对象提供手工编织、绘画或其他适宜在家庭环境中进行的职业康复功能训练和辅导。</w:t>
      </w:r>
    </w:p>
    <w:p w14:paraId="4A1C4B1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5.协助陪同服务对象参与与其身体状况相适应的文体活动及有益身心的公益活动。</w:t>
      </w:r>
    </w:p>
    <w:p w14:paraId="38431061">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6.其他合法、安全、力所能及并经所在服务机构批准同意提供的服务。</w:t>
      </w:r>
    </w:p>
    <w:p w14:paraId="3DC1E381">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7.经常与服务对象交流，了解其心理特点，对需要进行心理干预者提供建议和服务。</w:t>
      </w:r>
    </w:p>
    <w:p w14:paraId="7E5C6BB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（三）运动功能训练</w:t>
      </w:r>
    </w:p>
    <w:p w14:paraId="35BE73C0">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1.指导并协助有需要的服务对象或其监护人正确使用配发的康复辅助器具。</w:t>
      </w:r>
    </w:p>
    <w:p w14:paraId="6C31BE44">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zh-CN" w:eastAsia="zh-CN"/>
        </w:rPr>
      </w:pPr>
      <w:r>
        <w:rPr>
          <w:rFonts w:hint="eastAsia" w:ascii="宋体" w:hAnsi="宋体"/>
          <w:color w:val="000000"/>
          <w:szCs w:val="21"/>
          <w:highlight w:val="none"/>
          <w:lang w:val="en-US" w:eastAsia="zh-CN"/>
        </w:rPr>
        <w:t>2.指导并协助有需要的服务对象或其监护人正确使用保健仪器。服务标准：</w:t>
      </w:r>
      <w:r>
        <w:rPr>
          <w:rFonts w:hint="eastAsia" w:ascii="宋体" w:hAnsi="宋体"/>
          <w:color w:val="000000"/>
          <w:szCs w:val="21"/>
          <w:highlight w:val="none"/>
          <w:lang w:val="zh-CN" w:eastAsia="zh-CN"/>
        </w:rPr>
        <w:t>按照磋商文件要求及有关规定的要求执行；在实施过程中，如果国家或有关部门颁布了新的技术标准或规范，则供应商应采用新的标准或规范进行实施。</w:t>
      </w:r>
    </w:p>
    <w:p w14:paraId="17328A3D">
      <w:pPr>
        <w:keepNext w:val="0"/>
        <w:keepLines w:val="0"/>
        <w:pageBreakBefore w:val="0"/>
        <w:kinsoku/>
        <w:wordWrap/>
        <w:overflowPunct/>
        <w:topLinePunct w:val="0"/>
        <w:autoSpaceDE/>
        <w:autoSpaceDN/>
        <w:bidi w:val="0"/>
        <w:adjustRightInd/>
        <w:spacing w:line="440" w:lineRule="exact"/>
        <w:ind w:firstLine="422" w:firstLineChars="200"/>
        <w:textAlignment w:val="auto"/>
        <w:rPr>
          <w:rFonts w:hint="eastAsia" w:ascii="宋体" w:hAnsi="宋体"/>
          <w:color w:val="000000"/>
          <w:szCs w:val="21"/>
          <w:highlight w:val="none"/>
          <w:lang w:val="zh-CN" w:eastAsia="zh-CN"/>
        </w:rPr>
      </w:pPr>
      <w:r>
        <w:rPr>
          <w:rFonts w:hint="eastAsia"/>
          <w:b/>
          <w:bCs/>
          <w:color w:val="000000"/>
          <w:sz w:val="21"/>
          <w:szCs w:val="21"/>
          <w:highlight w:val="none"/>
        </w:rPr>
        <w:t>质量标准</w:t>
      </w:r>
      <w:r>
        <w:rPr>
          <w:rFonts w:hint="eastAsia"/>
          <w:b/>
          <w:bCs/>
          <w:color w:val="000000"/>
          <w:sz w:val="21"/>
          <w:szCs w:val="21"/>
          <w:highlight w:val="none"/>
          <w:lang w:eastAsia="zh-CN"/>
        </w:rPr>
        <w:t>：</w:t>
      </w:r>
      <w:r>
        <w:rPr>
          <w:rFonts w:hint="eastAsia" w:ascii="宋体" w:hAnsi="宋体"/>
          <w:color w:val="000000"/>
          <w:szCs w:val="21"/>
          <w:highlight w:val="none"/>
          <w:lang w:val="zh-CN" w:eastAsia="zh-CN"/>
        </w:rPr>
        <w:t>参照国家标准《就业年龄段智力、精神及重度肢体残疾人托养服务规范（GB/T37516—2019）》和中国残联《政府购买残疾人托养服务技术标准与规范》等规定。</w:t>
      </w:r>
    </w:p>
    <w:p w14:paraId="17359F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480"/>
        <w:jc w:val="both"/>
        <w:rPr>
          <w:rFonts w:hint="eastAsia" w:ascii="Times New Roman" w:hAnsi="Times New Roman" w:eastAsia="宋体" w:cs="Times New Roman"/>
          <w:b w:val="0"/>
          <w:bCs w:val="0"/>
          <w:color w:val="000000"/>
          <w:kern w:val="2"/>
          <w:sz w:val="21"/>
          <w:szCs w:val="21"/>
          <w:highlight w:val="none"/>
          <w:lang w:val="en-US" w:eastAsia="zh-CN" w:bidi="ar-SA"/>
        </w:rPr>
      </w:pPr>
      <w:r>
        <w:rPr>
          <w:rFonts w:hint="eastAsia" w:ascii="Times New Roman" w:hAnsi="Times New Roman" w:eastAsia="宋体" w:cs="Times New Roman"/>
          <w:b/>
          <w:bCs/>
          <w:color w:val="000000"/>
          <w:kern w:val="2"/>
          <w:sz w:val="21"/>
          <w:szCs w:val="21"/>
          <w:highlight w:val="none"/>
          <w:lang w:val="en-US" w:eastAsia="zh-CN" w:bidi="ar-SA"/>
        </w:rPr>
        <w:t>服务要求</w:t>
      </w:r>
      <w:r>
        <w:rPr>
          <w:rFonts w:hint="eastAsia" w:ascii="Times New Roman" w:hAnsi="Times New Roman" w:cs="Times New Roman"/>
          <w:b/>
          <w:bCs/>
          <w:color w:val="000000"/>
          <w:kern w:val="2"/>
          <w:sz w:val="21"/>
          <w:szCs w:val="21"/>
          <w:highlight w:val="none"/>
          <w:lang w:val="en-US" w:eastAsia="zh-CN" w:bidi="ar-SA"/>
        </w:rPr>
        <w:t>：</w:t>
      </w:r>
      <w:r>
        <w:rPr>
          <w:rFonts w:hint="default" w:ascii="Times New Roman" w:hAnsi="Times New Roman" w:eastAsia="宋体" w:cs="Times New Roman"/>
          <w:b w:val="0"/>
          <w:bCs w:val="0"/>
          <w:color w:val="000000"/>
          <w:kern w:val="2"/>
          <w:sz w:val="21"/>
          <w:szCs w:val="21"/>
          <w:highlight w:val="none"/>
          <w:lang w:val="en-US" w:eastAsia="zh-CN" w:bidi="ar-SA"/>
        </w:rPr>
        <w:t>根据西安市残联、市财政局《关于印发西安市残疾人托养服务工作实施方案的通知》（市残联发〔2024〕98号）和《关于印发西安市残疾人托养服务工作实施细则的通知》（市残联发〔2024〕114号）有关要求，结合周至县实际，为进一步加强残疾人托养服务规范化管理，提升托养服务质量，实施本次采购。</w:t>
      </w:r>
    </w:p>
    <w:p w14:paraId="750CB0B0">
      <w:pPr>
        <w:keepNext w:val="0"/>
        <w:keepLines w:val="0"/>
        <w:pageBreakBefore w:val="0"/>
        <w:kinsoku/>
        <w:wordWrap/>
        <w:overflowPunct/>
        <w:topLinePunct w:val="0"/>
        <w:autoSpaceDE/>
        <w:autoSpaceDN/>
        <w:bidi w:val="0"/>
        <w:adjustRightInd/>
        <w:spacing w:line="440" w:lineRule="exact"/>
        <w:ind w:firstLine="422" w:firstLineChars="200"/>
        <w:textAlignment w:val="auto"/>
        <w:rPr>
          <w:rFonts w:hint="eastAsia" w:ascii="宋体" w:hAnsi="宋体"/>
          <w:color w:val="000000"/>
          <w:szCs w:val="21"/>
          <w:highlight w:val="none"/>
          <w:lang w:val="zh-CN" w:eastAsia="zh-CN"/>
        </w:rPr>
      </w:pPr>
      <w:r>
        <w:rPr>
          <w:rFonts w:hint="eastAsia" w:ascii="Times New Roman" w:hAnsi="Times New Roman" w:eastAsia="宋体" w:cs="Times New Roman"/>
          <w:b/>
          <w:bCs/>
          <w:color w:val="000000"/>
          <w:kern w:val="2"/>
          <w:sz w:val="21"/>
          <w:szCs w:val="21"/>
          <w:highlight w:val="none"/>
          <w:lang w:val="zh-CN" w:eastAsia="zh-CN" w:bidi="ar-SA"/>
        </w:rPr>
        <w:t>服务方式：</w:t>
      </w:r>
      <w:r>
        <w:rPr>
          <w:rFonts w:hint="eastAsia" w:ascii="Times New Roman" w:hAnsi="Times New Roman" w:eastAsia="宋体" w:cs="Times New Roman"/>
          <w:b w:val="0"/>
          <w:bCs w:val="0"/>
          <w:color w:val="000000"/>
          <w:kern w:val="2"/>
          <w:sz w:val="21"/>
          <w:szCs w:val="21"/>
          <w:highlight w:val="none"/>
          <w:lang w:val="zh-CN" w:eastAsia="zh-CN" w:bidi="ar-SA"/>
        </w:rPr>
        <w:t>服务方式：根据残疾人需求，整合机构、社区（村）、家庭等多种服务资源，以定期上门服务为基本形式，为分散居住的残疾人提供生活照料（助洁、助餐、助浴、助行、助医等服务）、康复护理（生活护理、康复保健等）、精神慰藉和其他服务。</w:t>
      </w:r>
    </w:p>
    <w:p w14:paraId="22DAB57A">
      <w:pPr>
        <w:pStyle w:val="3"/>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lang w:val="zh-CN" w:eastAsia="zh-CN"/>
        </w:rPr>
      </w:pPr>
      <w:r>
        <w:rPr>
          <w:rFonts w:hint="eastAsia"/>
          <w:b/>
          <w:bCs/>
          <w:color w:val="000000"/>
          <w:sz w:val="21"/>
          <w:szCs w:val="21"/>
          <w:highlight w:val="none"/>
          <w:lang w:val="en-US" w:eastAsia="zh-CN"/>
        </w:rPr>
        <w:t>：</w:t>
      </w:r>
      <w:r>
        <w:rPr>
          <w:rFonts w:hint="eastAsia"/>
          <w:b/>
          <w:bCs/>
          <w:color w:val="000000"/>
          <w:sz w:val="21"/>
          <w:szCs w:val="21"/>
          <w:highlight w:val="none"/>
          <w:lang w:val="zh-CN" w:eastAsia="zh-CN"/>
        </w:rPr>
        <w:t>服务时间及服务费用</w:t>
      </w:r>
    </w:p>
    <w:p w14:paraId="6AE8C6D5">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000000"/>
          <w:szCs w:val="21"/>
          <w:highlight w:val="none"/>
          <w:lang w:val="zh-CN" w:eastAsia="zh-CN"/>
        </w:rPr>
      </w:pPr>
      <w:r>
        <w:rPr>
          <w:rFonts w:hint="eastAsia" w:ascii="宋体" w:hAnsi="宋体"/>
          <w:color w:val="000000"/>
          <w:szCs w:val="21"/>
          <w:highlight w:val="none"/>
          <w:lang w:val="zh-CN" w:eastAsia="zh-CN"/>
        </w:rPr>
        <w:t>每人次购买标准不高于2500元。个别服务对象确需长期服务或多次服务的，按具体服务时间确定人次。每人每月服务不少于8小时，每人全年不少于96.2小时为1人次。</w:t>
      </w:r>
    </w:p>
    <w:p w14:paraId="57448FBD">
      <w:pPr>
        <w:pStyle w:val="3"/>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 xml:space="preserve"> 服务费用及支付方式</w:t>
      </w:r>
    </w:p>
    <w:p w14:paraId="047CC99A">
      <w:pPr>
        <w:keepNext w:val="0"/>
        <w:keepLines w:val="0"/>
        <w:pageBreakBefore w:val="0"/>
        <w:numPr>
          <w:ilvl w:val="0"/>
          <w:numId w:val="2"/>
        </w:numPr>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本合同为固定</w:t>
      </w:r>
      <w:r>
        <w:rPr>
          <w:rFonts w:hint="eastAsia" w:ascii="宋体" w:hAnsi="宋体"/>
          <w:color w:val="auto"/>
          <w:szCs w:val="21"/>
          <w:highlight w:val="none"/>
          <w:lang w:val="en-US" w:eastAsia="zh-CN"/>
        </w:rPr>
        <w:t>单</w:t>
      </w:r>
      <w:r>
        <w:rPr>
          <w:rFonts w:hint="eastAsia" w:ascii="宋体" w:hAnsi="宋体"/>
          <w:color w:val="auto"/>
          <w:szCs w:val="21"/>
          <w:highlight w:val="none"/>
          <w:lang w:val="zh-CN" w:eastAsia="zh-CN"/>
        </w:rPr>
        <w:t>价合同，合同金额人民币（大写）：</w:t>
      </w:r>
      <w:r>
        <w:rPr>
          <w:rFonts w:hint="eastAsia" w:ascii="宋体" w:hAnsi="宋体"/>
          <w:color w:val="auto"/>
          <w:szCs w:val="21"/>
          <w:highlight w:val="none"/>
          <w:u w:val="single"/>
          <w:lang w:val="zh-CN" w:eastAsia="zh-CN"/>
        </w:rPr>
        <w:t xml:space="preserve">                 </w:t>
      </w:r>
      <w:r>
        <w:rPr>
          <w:rFonts w:hint="eastAsia" w:ascii="宋体" w:hAnsi="宋体"/>
          <w:color w:val="auto"/>
          <w:szCs w:val="21"/>
          <w:highlight w:val="none"/>
          <w:lang w:val="zh-CN" w:eastAsia="zh-CN"/>
        </w:rPr>
        <w:t xml:space="preserve">(小写¥ </w:t>
      </w:r>
      <w:r>
        <w:rPr>
          <w:rFonts w:hint="eastAsia" w:ascii="宋体" w:hAnsi="宋体"/>
          <w:color w:val="auto"/>
          <w:szCs w:val="21"/>
          <w:highlight w:val="none"/>
          <w:u w:val="single"/>
          <w:lang w:val="zh-CN" w:eastAsia="zh-CN"/>
        </w:rPr>
        <w:t xml:space="preserve">       </w:t>
      </w:r>
      <w:r>
        <w:rPr>
          <w:rFonts w:hint="eastAsia" w:ascii="宋体" w:hAnsi="宋体"/>
          <w:color w:val="auto"/>
          <w:szCs w:val="21"/>
          <w:highlight w:val="none"/>
          <w:lang w:val="zh-CN" w:eastAsia="zh-CN"/>
        </w:rPr>
        <w:t xml:space="preserve"> ) ；</w:t>
      </w:r>
    </w:p>
    <w:p w14:paraId="37010275">
      <w:pPr>
        <w:keepNext w:val="0"/>
        <w:keepLines w:val="0"/>
        <w:pageBreakBefore w:val="0"/>
        <w:numPr>
          <w:ilvl w:val="0"/>
          <w:numId w:val="2"/>
        </w:numPr>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color w:val="auto"/>
        </w:rPr>
        <w:t>合同金额即中标价，合同价格为含税价，乙方提供服务所发生的一切费用（包括人工费、设备费、管理费、利润、税金、风险及完成工作准备阶段、实施阶段、完成本项目所需的全部费用）</w:t>
      </w:r>
      <w:r>
        <w:rPr>
          <w:rFonts w:hint="eastAsia"/>
          <w:color w:val="auto"/>
        </w:rPr>
        <w:t>等都已包含于合同价款中</w:t>
      </w:r>
      <w:r>
        <w:rPr>
          <w:rFonts w:hint="eastAsia"/>
          <w:color w:val="auto"/>
          <w:lang w:eastAsia="zh-CN"/>
        </w:rPr>
        <w:t>；</w:t>
      </w:r>
    </w:p>
    <w:p w14:paraId="56CB2647">
      <w:pPr>
        <w:keepNext w:val="0"/>
        <w:keepLines w:val="0"/>
        <w:pageBreakBefore w:val="0"/>
        <w:numPr>
          <w:ilvl w:val="0"/>
          <w:numId w:val="2"/>
        </w:numPr>
        <w:kinsoku/>
        <w:wordWrap/>
        <w:overflowPunct/>
        <w:topLinePunct w:val="0"/>
        <w:autoSpaceDE/>
        <w:autoSpaceDN/>
        <w:bidi w:val="0"/>
        <w:adjustRightInd/>
        <w:spacing w:line="440" w:lineRule="exact"/>
        <w:ind w:firstLine="400" w:firstLineChars="200"/>
        <w:textAlignment w:val="auto"/>
        <w:rPr>
          <w:rFonts w:hint="eastAsia" w:ascii="宋体" w:hAnsi="宋体"/>
          <w:color w:val="auto"/>
          <w:szCs w:val="21"/>
          <w:highlight w:val="none"/>
          <w:lang w:val="zh-CN" w:eastAsia="zh-CN"/>
        </w:rPr>
      </w:pPr>
      <w:r>
        <w:rPr>
          <w:rFonts w:hint="eastAsia" w:ascii="宋体" w:hAnsi="宋体" w:eastAsia="宋体" w:cs="宋体"/>
          <w:bCs/>
          <w:color w:val="auto"/>
          <w:sz w:val="20"/>
          <w:szCs w:val="20"/>
          <w:highlight w:val="none"/>
        </w:rPr>
        <w:t>支付方式：按服务进度进度进行支付，达到付款条件起7日内，支付合同总金额的100.00%。</w:t>
      </w:r>
      <w:r>
        <w:rPr>
          <w:rFonts w:hint="eastAsia" w:ascii="宋体" w:hAnsi="宋体" w:cs="宋体"/>
          <w:bCs/>
          <w:color w:val="auto"/>
          <w:sz w:val="20"/>
          <w:szCs w:val="20"/>
          <w:highlight w:val="none"/>
          <w:lang w:eastAsia="zh-CN"/>
        </w:rPr>
        <w:t>；</w:t>
      </w:r>
    </w:p>
    <w:p w14:paraId="662D94A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4</w:t>
      </w:r>
      <w:r>
        <w:rPr>
          <w:rFonts w:hint="eastAsia" w:ascii="宋体" w:hAnsi="宋体"/>
          <w:color w:val="auto"/>
          <w:szCs w:val="21"/>
          <w:highlight w:val="none"/>
          <w:lang w:val="zh-CN" w:eastAsia="zh-CN"/>
        </w:rPr>
        <w:t>、服务费按下列比例支付价款：</w:t>
      </w:r>
      <w:r>
        <w:rPr>
          <w:rFonts w:hint="eastAsia" w:ascii="宋体" w:hAnsi="宋体"/>
          <w:color w:val="auto"/>
          <w:szCs w:val="21"/>
          <w:highlight w:val="none"/>
          <w:lang w:val="en-US" w:eastAsia="zh-CN"/>
        </w:rPr>
        <w:t>双方协商。</w:t>
      </w:r>
    </w:p>
    <w:p w14:paraId="01C9C03D">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en-US" w:eastAsia="zh-CN"/>
        </w:rPr>
        <w:t>4</w:t>
      </w:r>
      <w:r>
        <w:rPr>
          <w:rFonts w:hint="eastAsia" w:ascii="宋体" w:hAnsi="宋体"/>
          <w:color w:val="auto"/>
          <w:szCs w:val="21"/>
          <w:highlight w:val="none"/>
          <w:lang w:val="zh-CN" w:eastAsia="zh-CN"/>
        </w:rPr>
        <w:t>、乙方须向甲方出具合法有效的完税发票，甲方进行支付结算；</w:t>
      </w:r>
    </w:p>
    <w:p w14:paraId="1A452609">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en-US" w:eastAsia="zh-CN"/>
        </w:rPr>
        <w:t>5</w:t>
      </w:r>
      <w:r>
        <w:rPr>
          <w:rFonts w:hint="eastAsia" w:ascii="宋体" w:hAnsi="宋体"/>
          <w:color w:val="auto"/>
          <w:szCs w:val="21"/>
          <w:highlight w:val="none"/>
          <w:lang w:val="zh-CN" w:eastAsia="zh-CN"/>
        </w:rPr>
        <w:t>、结算方式：银行转账。</w:t>
      </w:r>
    </w:p>
    <w:p w14:paraId="0A53EC38">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第五条   知识产权</w:t>
      </w:r>
    </w:p>
    <w:p w14:paraId="24FFB35A">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乙方应保证所提供的服务或其任何一部分均不会侵犯任何第三方的专利权、商标权或著作权。</w:t>
      </w:r>
    </w:p>
    <w:p w14:paraId="44B3C2BD">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第六条  无产权瑕疵条款</w:t>
      </w:r>
    </w:p>
    <w:p w14:paraId="32352CA8">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乙方保证所提供的服务的所有权完全属于乙方且无任何抵押、查封等产权瑕疵。如有产权瑕疵的，视为乙方违约。乙方应负担由此而产生的一切损失。</w:t>
      </w:r>
    </w:p>
    <w:p w14:paraId="200DE098">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 xml:space="preserve"> 第七条   履约保证金</w:t>
      </w:r>
    </w:p>
    <w:p w14:paraId="6DA29C15">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1、乙方在签订本合同之前，向甲方构提交履约保证金人民币</w:t>
      </w:r>
      <w:r>
        <w:rPr>
          <w:rFonts w:hint="eastAsia"/>
          <w:color w:val="000000"/>
          <w:sz w:val="21"/>
          <w:szCs w:val="21"/>
          <w:highlight w:val="none"/>
          <w:u w:val="single"/>
        </w:rPr>
        <w:t xml:space="preserve">             </w:t>
      </w:r>
      <w:r>
        <w:rPr>
          <w:rFonts w:hint="eastAsia"/>
          <w:color w:val="000000"/>
          <w:sz w:val="21"/>
          <w:szCs w:val="21"/>
          <w:highlight w:val="none"/>
        </w:rPr>
        <w:t>元，￥</w:t>
      </w:r>
      <w:r>
        <w:rPr>
          <w:rFonts w:hint="eastAsia"/>
          <w:color w:val="000000"/>
          <w:sz w:val="21"/>
          <w:szCs w:val="21"/>
          <w:highlight w:val="none"/>
          <w:u w:val="single"/>
        </w:rPr>
        <w:t xml:space="preserve">        </w:t>
      </w:r>
      <w:r>
        <w:rPr>
          <w:rFonts w:hint="eastAsia"/>
          <w:color w:val="000000"/>
          <w:sz w:val="21"/>
          <w:szCs w:val="21"/>
          <w:highlight w:val="none"/>
        </w:rPr>
        <w:t>元。</w:t>
      </w:r>
    </w:p>
    <w:p w14:paraId="56ED5A1B">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2、履约保证金的有效期为乙方承诺的服务期限。</w:t>
      </w:r>
    </w:p>
    <w:p w14:paraId="2938B85E">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3、履约保证金作为违约金的一部分及用于补偿甲方因乙方不能履行合同义务而蒙受的损失。</w:t>
      </w:r>
    </w:p>
    <w:p w14:paraId="7A0D070F">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4、服务期限结束后，甲方财务部门接到甲方确认本合同服务等约定事项已经履行完毕的正式书面文件后的</w:t>
      </w:r>
      <w:r>
        <w:rPr>
          <w:rFonts w:hint="eastAsia"/>
          <w:color w:val="000000"/>
          <w:sz w:val="21"/>
          <w:szCs w:val="21"/>
          <w:highlight w:val="none"/>
          <w:u w:val="single"/>
        </w:rPr>
        <w:t xml:space="preserve">      </w:t>
      </w:r>
      <w:r>
        <w:rPr>
          <w:rFonts w:hint="eastAsia"/>
          <w:color w:val="000000"/>
          <w:sz w:val="21"/>
          <w:szCs w:val="21"/>
          <w:highlight w:val="none"/>
        </w:rPr>
        <w:t>日内，向乙方退还履约保证金。</w:t>
      </w:r>
    </w:p>
    <w:p w14:paraId="2A464231">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5、乙方可以履约担保函的形式交纳履约保证金（格式见附件1）。</w:t>
      </w:r>
    </w:p>
    <w:p w14:paraId="5D11125C">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第八条  甲方的权利和义务</w:t>
      </w:r>
    </w:p>
    <w:p w14:paraId="0AE2E5A2">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b/>
          <w:bCs/>
          <w:color w:val="000000"/>
          <w:sz w:val="21"/>
          <w:szCs w:val="21"/>
          <w:highlight w:val="none"/>
        </w:rPr>
      </w:pPr>
      <w:r>
        <w:rPr>
          <w:rFonts w:hint="eastAsia"/>
          <w:color w:val="000000"/>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7709FC11">
      <w:pPr>
        <w:pStyle w:val="3"/>
        <w:shd w:val="clear" w:color="auto" w:fill="FFFFFF"/>
        <w:spacing w:before="0" w:beforeAutospacing="0" w:after="0" w:afterAutospacing="0" w:line="440" w:lineRule="exact"/>
        <w:ind w:firstLine="420" w:firstLineChars="200"/>
        <w:rPr>
          <w:color w:val="000000"/>
          <w:sz w:val="21"/>
          <w:szCs w:val="21"/>
        </w:rPr>
      </w:pPr>
      <w:r>
        <w:rPr>
          <w:rFonts w:hint="eastAsia"/>
          <w:color w:val="000000"/>
          <w:sz w:val="21"/>
          <w:szCs w:val="21"/>
        </w:rPr>
        <w:t>2、甲方根据考评办法对乙方提供的服务进行定期考评。当考评结果未达到标准时，有权依据考评办法约定的数额扣除履约保证金。</w:t>
      </w:r>
    </w:p>
    <w:p w14:paraId="0295DFFC">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3、负责检查监督乙方管理工作的实施及制度的执行情况。</w:t>
      </w:r>
    </w:p>
    <w:p w14:paraId="57BC287C">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4、根据本合同规定，按时向乙方支付应付服务费用。</w:t>
      </w:r>
    </w:p>
    <w:p w14:paraId="51952085">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5、国家法律、法规所规定由甲方承担的其它责任。</w:t>
      </w:r>
    </w:p>
    <w:p w14:paraId="13E25973">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第九条  乙方的权利和义务</w:t>
      </w:r>
    </w:p>
    <w:p w14:paraId="2F5CBE7B">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1、对本合同规定的委托服务范围内的项目享有管理权及服务义务。</w:t>
      </w:r>
    </w:p>
    <w:p w14:paraId="19B5B0E0">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2、根据本合同的规定向甲方收取相关服务费用，并有权在本项目管理范围内管理及合理使用。</w:t>
      </w:r>
    </w:p>
    <w:p w14:paraId="45F1A655">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3、及时向甲方通告本项目服务范围内有关服务的重大事项，及时配合处理投诉。</w:t>
      </w:r>
    </w:p>
    <w:p w14:paraId="5C633451">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4、接受项目行业管理部门及政府有关部门的指导，接受甲方的监督。</w:t>
      </w:r>
    </w:p>
    <w:p w14:paraId="410ED6E1">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5、国家法律、法规所规定由乙方承担的其它责任。</w:t>
      </w:r>
    </w:p>
    <w:p w14:paraId="2882972D">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第十条  违约责任</w:t>
      </w:r>
    </w:p>
    <w:p w14:paraId="6AFDCA0F">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1、甲乙双方必须遵守本合同并执行合同中的各项规定，保证本合同的正常履行。</w:t>
      </w:r>
    </w:p>
    <w:p w14:paraId="55F58BE5">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23CAE4A">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第十一条  不可抗力事件处理</w:t>
      </w:r>
    </w:p>
    <w:p w14:paraId="24B519CA">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1、在合同有效期内，任何一方因不可抗力事件导致不能履行合同，则合同履行期可延长，其延长期与不可抗力影响期相同。</w:t>
      </w:r>
    </w:p>
    <w:p w14:paraId="47911140">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2、不可抗力事件发生后，应立即通知对方，并寄送有关权威机构出具的证明。</w:t>
      </w:r>
    </w:p>
    <w:p w14:paraId="11E9C5E9">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宋体" w:hAnsi="宋体" w:eastAsia="宋体"/>
          <w:b/>
          <w:bCs/>
          <w:color w:val="000000"/>
          <w:sz w:val="21"/>
          <w:szCs w:val="21"/>
          <w:highlight w:val="none"/>
        </w:rPr>
      </w:pPr>
      <w:r>
        <w:rPr>
          <w:rFonts w:hint="eastAsia"/>
          <w:color w:val="000000"/>
          <w:sz w:val="21"/>
          <w:szCs w:val="21"/>
          <w:highlight w:val="none"/>
        </w:rPr>
        <w:t>3、不可抗力事件延续</w:t>
      </w:r>
      <w:r>
        <w:rPr>
          <w:rFonts w:hint="eastAsia"/>
          <w:color w:val="000000"/>
          <w:sz w:val="21"/>
          <w:szCs w:val="21"/>
          <w:highlight w:val="none"/>
          <w:u w:val="single"/>
        </w:rPr>
        <w:t xml:space="preserve">     </w:t>
      </w:r>
      <w:r>
        <w:rPr>
          <w:rFonts w:hint="eastAsia"/>
          <w:color w:val="000000"/>
          <w:sz w:val="21"/>
          <w:szCs w:val="21"/>
          <w:highlight w:val="none"/>
        </w:rPr>
        <w:t>天以上，双方应通过友好协商，确定是否继续履行合同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Start w:id="18" w:name="_Toc185395254"/>
      <w:bookmarkStart w:id="19" w:name="_Toc239233919"/>
      <w:bookmarkStart w:id="20" w:name="_Toc239568423"/>
      <w:bookmarkStart w:id="21" w:name="_Toc286993792"/>
      <w:bookmarkStart w:id="22" w:name="_Toc211911353"/>
      <w:bookmarkStart w:id="23" w:name="_Toc241833908"/>
      <w:bookmarkStart w:id="24" w:name="_Toc237145411"/>
      <w:bookmarkStart w:id="25" w:name="_Toc251768867"/>
      <w:bookmarkStart w:id="26" w:name="_Toc238984980"/>
      <w:bookmarkStart w:id="27" w:name="_Toc225654649"/>
      <w:bookmarkStart w:id="28" w:name="_Toc211854454"/>
      <w:bookmarkStart w:id="29" w:name="_Toc247334846"/>
      <w:bookmarkStart w:id="30" w:name="_Toc232492933"/>
      <w:bookmarkStart w:id="31" w:name="_Toc225670756"/>
      <w:bookmarkStart w:id="32" w:name="_Toc225244857"/>
      <w:bookmarkStart w:id="33" w:name="_Toc212019599"/>
      <w:r>
        <w:rPr>
          <w:rFonts w:hint="eastAsia" w:ascii="宋体" w:hAnsi="宋体" w:eastAsia="宋体"/>
          <w:color w:val="000000"/>
          <w:sz w:val="21"/>
          <w:szCs w:val="21"/>
          <w:highlight w:val="none"/>
        </w:rPr>
        <w:t>。</w:t>
      </w:r>
      <w:r>
        <w:rPr>
          <w:rFonts w:hint="eastAsia"/>
          <w:b/>
          <w:bCs/>
          <w:color w:val="000000"/>
          <w:sz w:val="21"/>
          <w:szCs w:val="21"/>
          <w:highlight w:val="none"/>
        </w:rPr>
        <w:t xml:space="preserve"> </w:t>
      </w:r>
    </w:p>
    <w:p w14:paraId="0A587AC0">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color w:val="000000"/>
          <w:sz w:val="21"/>
          <w:szCs w:val="21"/>
          <w:highlight w:val="none"/>
        </w:rPr>
      </w:pPr>
      <w:r>
        <w:rPr>
          <w:rFonts w:hint="eastAsia"/>
          <w:b/>
          <w:bCs/>
          <w:color w:val="000000"/>
          <w:sz w:val="21"/>
          <w:szCs w:val="21"/>
          <w:highlight w:val="none"/>
        </w:rPr>
        <w:t>第十二条  合同的变更和终止</w:t>
      </w:r>
    </w:p>
    <w:p w14:paraId="48023DE6">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除《中华人民共和国政府采购法》第49条、第50条第二款规定的情形外，本合同一经签订，甲乙双方不得擅自变更、中止或终止合同。</w:t>
      </w:r>
    </w:p>
    <w:p w14:paraId="2431EF85">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0926B1">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1、在执行本合同中发生的或与本合同有关的争端，双方应通过友好协商解决，经协商在XX天内不能达成协议时，则采取以下第2种方式解决争议：</w:t>
      </w:r>
    </w:p>
    <w:p w14:paraId="1D60E3A1">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（1）向甲方所在地有管辖权的人民法院提起诉讼；</w:t>
      </w:r>
    </w:p>
    <w:p w14:paraId="1F492CD7">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（2）向</w:t>
      </w:r>
      <w:r>
        <w:rPr>
          <w:rFonts w:hint="eastAsia"/>
          <w:color w:val="000000"/>
          <w:sz w:val="21"/>
          <w:szCs w:val="21"/>
          <w:highlight w:val="none"/>
          <w:u w:val="single"/>
        </w:rPr>
        <w:t>西安</w:t>
      </w:r>
      <w:r>
        <w:rPr>
          <w:rFonts w:hint="eastAsia"/>
          <w:color w:val="000000"/>
          <w:sz w:val="21"/>
          <w:szCs w:val="21"/>
          <w:highlight w:val="none"/>
        </w:rPr>
        <w:t>仲裁委员会按其仲裁规则申请仲裁。</w:t>
      </w:r>
    </w:p>
    <w:p w14:paraId="28EEB36D">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2、在仲裁期间，本合同应继续履行。</w:t>
      </w:r>
    </w:p>
    <w:p w14:paraId="60B5186D">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bookmarkStart w:id="34" w:name="_Toc211854455"/>
      <w:bookmarkStart w:id="35" w:name="_Toc232492934"/>
      <w:bookmarkStart w:id="36" w:name="_Toc283019219"/>
      <w:bookmarkStart w:id="37" w:name="_Toc225244858"/>
      <w:bookmarkStart w:id="38" w:name="_Toc286993793"/>
      <w:bookmarkStart w:id="39" w:name="_Toc238984981"/>
      <w:bookmarkStart w:id="40" w:name="_Toc251768868"/>
      <w:bookmarkStart w:id="41" w:name="_Toc211911354"/>
      <w:bookmarkStart w:id="42" w:name="_Toc241833909"/>
      <w:bookmarkStart w:id="43" w:name="_Toc185395255"/>
      <w:bookmarkStart w:id="44" w:name="_Toc225670757"/>
      <w:bookmarkStart w:id="45" w:name="_Toc237145412"/>
      <w:bookmarkStart w:id="46" w:name="_Toc225654650"/>
      <w:bookmarkStart w:id="47" w:name="_Toc239568424"/>
      <w:bookmarkStart w:id="48" w:name="_Toc282696231"/>
      <w:bookmarkStart w:id="49" w:name="_Toc239233920"/>
      <w:bookmarkStart w:id="50" w:name="_Toc247334847"/>
      <w:bookmarkStart w:id="51" w:name="_Toc212019600"/>
      <w:r>
        <w:rPr>
          <w:rFonts w:hint="eastAsia"/>
          <w:b/>
          <w:bCs/>
          <w:color w:val="000000"/>
          <w:sz w:val="21"/>
          <w:szCs w:val="21"/>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b/>
          <w:bCs/>
          <w:color w:val="000000"/>
          <w:sz w:val="21"/>
          <w:szCs w:val="21"/>
          <w:highlight w:val="none"/>
        </w:rPr>
        <w:t>生效及其他</w:t>
      </w:r>
    </w:p>
    <w:p w14:paraId="7C9B233F">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1、合同经双方法定代表人或授权委托代理人签字并加盖单位公章后生效。</w:t>
      </w:r>
    </w:p>
    <w:p w14:paraId="02D582B4">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768FFC38">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3、本合同一式陆份，自双方签章之日起起效。甲方贰份，乙方贰份，政府采购代理机构壹份，同级财政部门备案壹份，具有同等法律效力。</w:t>
      </w:r>
    </w:p>
    <w:p w14:paraId="0840FAAA">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第十五条  附件</w:t>
      </w:r>
    </w:p>
    <w:p w14:paraId="01699AA2">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1、项目</w:t>
      </w:r>
      <w:r>
        <w:rPr>
          <w:rFonts w:hint="eastAsia"/>
          <w:color w:val="000000"/>
          <w:sz w:val="21"/>
          <w:szCs w:val="21"/>
          <w:highlight w:val="none"/>
          <w:lang w:val="en-US" w:eastAsia="zh-CN"/>
        </w:rPr>
        <w:t>竞争性磋商</w:t>
      </w:r>
      <w:r>
        <w:rPr>
          <w:rFonts w:hint="eastAsia"/>
          <w:color w:val="000000"/>
          <w:sz w:val="21"/>
          <w:szCs w:val="21"/>
          <w:highlight w:val="none"/>
        </w:rPr>
        <w:t>文件</w:t>
      </w:r>
    </w:p>
    <w:p w14:paraId="35C08E35">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2、项目修改澄清文件</w:t>
      </w:r>
    </w:p>
    <w:p w14:paraId="4479D396">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3、项目</w:t>
      </w:r>
      <w:r>
        <w:rPr>
          <w:rFonts w:hint="eastAsia"/>
          <w:color w:val="000000"/>
          <w:sz w:val="21"/>
          <w:szCs w:val="21"/>
          <w:highlight w:val="none"/>
          <w:lang w:val="en-US" w:eastAsia="zh-CN"/>
        </w:rPr>
        <w:t>响应</w:t>
      </w:r>
      <w:r>
        <w:rPr>
          <w:rFonts w:hint="eastAsia"/>
          <w:color w:val="000000"/>
          <w:sz w:val="21"/>
          <w:szCs w:val="21"/>
          <w:highlight w:val="none"/>
        </w:rPr>
        <w:t>文件</w:t>
      </w:r>
    </w:p>
    <w:p w14:paraId="1C579C60">
      <w:pPr>
        <w:pStyle w:val="3"/>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w:t>
      </w:r>
      <w:r>
        <w:rPr>
          <w:rFonts w:hint="eastAsia"/>
          <w:color w:val="000000"/>
          <w:sz w:val="21"/>
          <w:szCs w:val="21"/>
          <w:highlight w:val="none"/>
          <w:lang w:val="en-US" w:eastAsia="zh-CN"/>
        </w:rPr>
        <w:t>成交</w:t>
      </w:r>
      <w:r>
        <w:rPr>
          <w:rFonts w:hint="eastAsia"/>
          <w:color w:val="000000"/>
          <w:sz w:val="21"/>
          <w:szCs w:val="21"/>
          <w:highlight w:val="none"/>
        </w:rPr>
        <w:t>通知书</w:t>
      </w:r>
    </w:p>
    <w:p w14:paraId="0266989A">
      <w:pPr>
        <w:keepNext w:val="0"/>
        <w:keepLines w:val="0"/>
        <w:pageBreakBefore w:val="0"/>
        <w:kinsoku/>
        <w:wordWrap/>
        <w:overflowPunct/>
        <w:topLinePunct w:val="0"/>
        <w:autoSpaceDE/>
        <w:autoSpaceDN/>
        <w:bidi w:val="0"/>
        <w:adjustRightInd/>
        <w:snapToGrid w:val="0"/>
        <w:spacing w:line="440" w:lineRule="exact"/>
        <w:ind w:firstLine="539"/>
        <w:textAlignment w:val="auto"/>
        <w:rPr>
          <w:rFonts w:hint="eastAsia" w:ascii="宋体" w:hAnsi="宋体" w:eastAsia="宋体" w:cs="宋体"/>
          <w:color w:val="000000"/>
          <w:szCs w:val="21"/>
          <w:highlight w:val="none"/>
        </w:rPr>
      </w:pPr>
      <w:r>
        <w:rPr>
          <w:rFonts w:hint="eastAsia"/>
          <w:color w:val="000000"/>
          <w:sz w:val="21"/>
          <w:szCs w:val="21"/>
          <w:highlight w:val="none"/>
        </w:rPr>
        <w:t>5、其他</w:t>
      </w:r>
    </w:p>
    <w:p w14:paraId="687FBFD6">
      <w:pPr>
        <w:spacing w:line="360" w:lineRule="auto"/>
        <w:ind w:firstLine="420" w:firstLineChars="200"/>
        <w:rPr>
          <w:rFonts w:hint="eastAsia" w:ascii="宋体" w:hAnsi="宋体" w:eastAsia="宋体" w:cs="宋体"/>
          <w:color w:val="000000"/>
          <w:szCs w:val="21"/>
          <w:highlight w:val="none"/>
        </w:rPr>
      </w:pPr>
    </w:p>
    <w:p w14:paraId="3DDD5427">
      <w:pPr>
        <w:spacing w:line="360" w:lineRule="auto"/>
        <w:ind w:firstLine="420" w:firstLineChars="200"/>
        <w:rPr>
          <w:rFonts w:hint="eastAsia" w:ascii="宋体" w:hAnsi="宋体" w:eastAsia="宋体" w:cs="宋体"/>
          <w:color w:val="000000"/>
          <w:szCs w:val="21"/>
          <w:highlight w:val="none"/>
        </w:rPr>
      </w:pPr>
    </w:p>
    <w:p w14:paraId="04166EE2">
      <w:pPr>
        <w:spacing w:before="120" w:beforeLines="50" w:after="120" w:afterLines="50"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甲方：   （盖章）   </w:t>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 xml:space="preserve">    乙方：   （盖章）</w:t>
      </w:r>
    </w:p>
    <w:p w14:paraId="6364D679">
      <w:pPr>
        <w:spacing w:before="120" w:beforeLines="50" w:after="120" w:afterLines="50"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负责人/委托代理人：                 法定代表人/委托代理人：</w:t>
      </w:r>
    </w:p>
    <w:p w14:paraId="21329D40">
      <w:pPr>
        <w:spacing w:before="120" w:beforeLines="50" w:after="120" w:afterLines="50"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地    址：                          地    址：</w:t>
      </w:r>
    </w:p>
    <w:p w14:paraId="12F21BA4">
      <w:pPr>
        <w:spacing w:before="120" w:beforeLines="50" w:after="120" w:afterLines="50"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开户银行：                          开户银行：</w:t>
      </w:r>
    </w:p>
    <w:p w14:paraId="28AA604C">
      <w:pPr>
        <w:spacing w:before="120" w:beforeLines="50" w:after="120" w:afterLines="50"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账    号：                          账    号：</w:t>
      </w:r>
    </w:p>
    <w:p w14:paraId="69052DA0">
      <w:pPr>
        <w:spacing w:before="120" w:beforeLines="50" w:after="120" w:afterLines="50"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    话：                          电    话：</w:t>
      </w:r>
    </w:p>
    <w:p w14:paraId="2E947AE0">
      <w:pPr>
        <w:spacing w:before="120" w:beforeLines="50" w:after="120" w:afterLines="50"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传    真：                          传    真：</w:t>
      </w:r>
    </w:p>
    <w:p w14:paraId="6513B833">
      <w:pPr>
        <w:spacing w:before="120" w:beforeLines="50" w:after="120" w:afterLines="50"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签约日期：    年  月  日            签约日期：    年  月  日</w:t>
      </w:r>
    </w:p>
    <w:p w14:paraId="57570C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48A6"/>
    <w:multiLevelType w:val="singleLevel"/>
    <w:tmpl w:val="081348A6"/>
    <w:lvl w:ilvl="0" w:tentative="0">
      <w:start w:val="1"/>
      <w:numFmt w:val="decimal"/>
      <w:suff w:val="nothing"/>
      <w:lvlText w:val="%1、"/>
      <w:lvlJc w:val="left"/>
    </w:lvl>
  </w:abstractNum>
  <w:abstractNum w:abstractNumId="1">
    <w:nsid w:val="5EAF7BAD"/>
    <w:multiLevelType w:val="singleLevel"/>
    <w:tmpl w:val="5EAF7BAD"/>
    <w:lvl w:ilvl="0" w:tentative="0">
      <w:start w:val="3"/>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B25C29"/>
    <w:rsid w:val="36ED1272"/>
    <w:rsid w:val="5EC62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rPr>
      <w:b/>
      <w:sz w:val="28"/>
    </w:rPr>
  </w:style>
  <w:style w:type="paragraph" w:styleId="3">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4">
    <w:name w:val="Body Text First Indent"/>
    <w:basedOn w:val="2"/>
    <w:qFormat/>
    <w:uiPriority w:val="0"/>
    <w:rPr>
      <w:rFonts w:hAnsi="宋体"/>
      <w:sz w:val="18"/>
      <w:szCs w:val="18"/>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2667</Words>
  <Characters>2677</Characters>
  <Lines>0</Lines>
  <Paragraphs>0</Paragraphs>
  <TotalTime>24</TotalTime>
  <ScaleCrop>false</ScaleCrop>
  <LinksUpToDate>false</LinksUpToDate>
  <CharactersWithSpaces>3023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2024-12-09T07:44:00Z</dcterms:created>
  <dc:creator>Administrator</dc:creator>
  <cp:lastModifiedBy>风与海的边缘</cp:lastModifiedBy>
  <dcterms:modified xsi:type="dcterms:W3CDTF">2026-05-12T01:02:45Z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CB91811DE16A47DFA4A8BBAF2F9237F2_13</vt:lpwstr>
  </property>
  <property fmtid="{D5CDD505-2E9C-101B-9397-08002B2CF9AE}" pid="4" name="KSOTemplateDocerSaveRecord">
    <vt:lpwstr>eyJoZGlkIjoiODViY2JkMjU3NGYzZTEwMzZmMGFkZWViYmNkYWU3NDIiLCJ1c2VySWQiOiI3MzY0Nzc2MDUifQ==</vt:lpwstr>
  </property>
</Properties>
</file>