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版本号：HCLG2026-02320260624001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金花校区学生公寓宿舍室内及公共区域粉刷维修项目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金花校区学生公寓宿舍室内及公共区域粉刷维修项目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金花校区学生公寓宿舍室内及公共区域粉刷维修项目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金花校区学生公寓宿舍室内及公共区域粉刷维修（毕业腾空房、迎新宿舍），施工内容为金花校区学生宿舍室内墙面粉刷138间，施工方案包含铲墙皮、批腻子2遍、刷乳胶漆2遍，以及室内家具搬移及保护、保洁、建筑垃圾清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采购包1（金花校区学生公寓宿舍室内及公共区域粉刷维修项目）：属于专门面向中小企业采购。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1、具有独⽴承担⺠事责任的能⼒：具有独⽴承担⺠事责任能⼒的法⼈、其他组织或⾃然⼈，提供合法有效的统⼀社会信⽤代码营业执照（事业单位提供法⼈证书，⾃然⼈提供⾝份证）。</w:t>
      </w:r>
    </w:p>
    <w:p>
      <w:pPr>
        <w:pStyle w:val="null3"/>
      </w:pPr>
      <w:r>
        <w:rPr>
          <w:rFonts w:ascii="仿宋_GB2312" w:hAnsi="仿宋_GB2312" w:cs="仿宋_GB2312" w:eastAsia="仿宋_GB2312"/>
        </w:rPr>
        <w:t>2、具有良好的商业信誉和健全的财务 会计制度：法⼈提供经审计的2025年度财务报告（成⽴时间⾄响应⽂件递交截⽌时间不⾜⼀年的可提供成⽴后任意时段的资产负债表）或响应⽂件递交截⽌时间前六个⽉内银⾏出具的资信证明； 其他组织和⾃然⼈提供银⾏出具的资信证明或财务报表。注：①提供财务报告的，内容⾄少包括审计报告、附注。根据《财政部关于注册会计师⾏业统⼀监管平台上线运⾏的通知》财办〔2022〕32号⽂件要求，审计报告须有清晰可扫描查询的⼆维码（注册会计师⾏业统⼀监管平台⽹址：acc.mof.gov.cn），若审计报告未赋码视为⽆效。②提供资信证明的，必须提供资信证明全部⻚以及基本⼾信息（提供开⼾许可证或提供基本银⾏账⼾信息），银⾏出具的存款证明不能代替资信证明，存款证明⽆效。</w:t>
      </w:r>
    </w:p>
    <w:p>
      <w:pPr>
        <w:pStyle w:val="null3"/>
      </w:pPr>
      <w:r>
        <w:rPr>
          <w:rFonts w:ascii="仿宋_GB2312" w:hAnsi="仿宋_GB2312" w:cs="仿宋_GB2312" w:eastAsia="仿宋_GB2312"/>
        </w:rPr>
        <w:t>3、有依法缴纳税收的良好记录：法⼈提供响应⽂件递交截⽌时间前⼀年内⾄少⼀个⽉依法缴纳税收的相关凭据（时间以税款所属⽇期为准，凭据应有税务机关或代收机关的公章或业务专⽤章）；其他组织和⾃然⼈提供缴纳税收的凭据；依法免税的供应商应提供相关⽂件证明。</w:t>
      </w:r>
    </w:p>
    <w:p>
      <w:pPr>
        <w:pStyle w:val="null3"/>
      </w:pPr>
      <w:r>
        <w:rPr>
          <w:rFonts w:ascii="仿宋_GB2312" w:hAnsi="仿宋_GB2312" w:cs="仿宋_GB2312" w:eastAsia="仿宋_GB2312"/>
        </w:rPr>
        <w:t>4、有依法缴纳社会保障资⾦的良好记 录：提供响应⽂件递交截⽌时间前⼀年内⾄少⼀个⽉已缴纳的社会保障资⾦的凭据（社会保障资⾦缴存单据或社保机构开具的社会保险参保缴费情况证明）；依法不需要缴纳社会保障资⾦的供应商应提供相关⽂件证明。</w:t>
      </w:r>
    </w:p>
    <w:p>
      <w:pPr>
        <w:pStyle w:val="null3"/>
      </w:pPr>
      <w:r>
        <w:rPr>
          <w:rFonts w:ascii="仿宋_GB2312" w:hAnsi="仿宋_GB2312" w:cs="仿宋_GB2312" w:eastAsia="仿宋_GB2312"/>
        </w:rPr>
        <w:t>5、具有履⾏合同所必需的设备和专业技术能⼒：提供具有履⾏合同所必需的设备和专业技术能⼒的承诺。</w:t>
      </w:r>
    </w:p>
    <w:p>
      <w:pPr>
        <w:pStyle w:val="null3"/>
      </w:pPr>
      <w:r>
        <w:rPr>
          <w:rFonts w:ascii="仿宋_GB2312" w:hAnsi="仿宋_GB2312" w:cs="仿宋_GB2312" w:eastAsia="仿宋_GB2312"/>
        </w:rPr>
        <w:t>6、参加政府采购活动前三年内，在经营活动中没有重⼤违法记录：提供参加政府采购活动前三年内，在经营活动中没有重⼤违法记录的书⾯声明。</w:t>
      </w:r>
    </w:p>
    <w:p>
      <w:pPr>
        <w:pStyle w:val="null3"/>
      </w:pPr>
      <w:r>
        <w:rPr>
          <w:rFonts w:ascii="仿宋_GB2312" w:hAnsi="仿宋_GB2312" w:cs="仿宋_GB2312" w:eastAsia="仿宋_GB2312"/>
        </w:rPr>
        <w:t>7、法定代表⼈授权书、法定代表⼈⾝份证明合格：提供合格的法定代表⼈授权书（附法定代表⼈、被授权⼈⾝份证复印件）或法定代表⼈⾝份证明（法定代表⼈直接参加的）。</w:t>
      </w:r>
    </w:p>
    <w:p>
      <w:pPr>
        <w:pStyle w:val="null3"/>
      </w:pPr>
      <w:r>
        <w:rPr>
          <w:rFonts w:ascii="仿宋_GB2312" w:hAnsi="仿宋_GB2312" w:cs="仿宋_GB2312" w:eastAsia="仿宋_GB2312"/>
        </w:rPr>
        <w:t>8、信⽤承诺：提供未被“信⽤中国”⽹站（www.creditchina. gov.cn）列⼊重⼤税收违法失信主体名单，未被“中国执⾏信息公开⽹”⽹站（zxgk.court.gov.cn）列⼊失信被执⾏⼈，未被“中国政府采购⽹”⽹站（www.ccgp.gov.cn）列⼊政府采购严重违法失信⾏为记录名单的承诺。</w:t>
      </w:r>
    </w:p>
    <w:p>
      <w:pPr>
        <w:pStyle w:val="null3"/>
      </w:pPr>
      <w:r>
        <w:rPr>
          <w:rFonts w:ascii="仿宋_GB2312" w:hAnsi="仿宋_GB2312" w:cs="仿宋_GB2312" w:eastAsia="仿宋_GB2312"/>
        </w:rPr>
        <w:t>9、供应商企业资质：供应商须具备建设⾏政主管部⻔颁发的建筑装修装饰⼯程专业承包⼆级以上（含⼆级）资质（或按国家住建部资质改⾰要求换发的新版建筑装修装饰⼯程专业承包⼄级以上（含⼄级）资质），具有有效的安全⽣产许可证。</w:t>
      </w:r>
    </w:p>
    <w:p>
      <w:pPr>
        <w:pStyle w:val="null3"/>
      </w:pPr>
      <w:r>
        <w:rPr>
          <w:rFonts w:ascii="仿宋_GB2312" w:hAnsi="仿宋_GB2312" w:cs="仿宋_GB2312" w:eastAsia="仿宋_GB2312"/>
        </w:rPr>
        <w:t>10、供应商及拟派项⽬经理基本信息：供应商及拟派项⽬经理基本信息须在“陕西省住房和城乡建设厅⽹”⽹站（js.shaanxi.gov.cn）可查询（提供承诺）。</w:t>
      </w:r>
    </w:p>
    <w:p>
      <w:pPr>
        <w:pStyle w:val="null3"/>
      </w:pPr>
      <w:r>
        <w:rPr>
          <w:rFonts w:ascii="仿宋_GB2312" w:hAnsi="仿宋_GB2312" w:cs="仿宋_GB2312" w:eastAsia="仿宋_GB2312"/>
        </w:rPr>
        <w:t>11、外省进陕企业要求：供应商为外省进陕企业的，须提供陕西省住房和城乡建设厅官⽹企业库外省进陕企业信息⾸⻚截图。</w:t>
      </w:r>
    </w:p>
    <w:p>
      <w:pPr>
        <w:pStyle w:val="null3"/>
      </w:pPr>
      <w:r>
        <w:rPr>
          <w:rFonts w:ascii="仿宋_GB2312" w:hAnsi="仿宋_GB2312" w:cs="仿宋_GB2312" w:eastAsia="仿宋_GB2312"/>
        </w:rPr>
        <w:t>12、拟派项⽬负责⼈资格和专业要求：具备建筑⼯程专业⼆级以上（含⼆级）注册建造师资格及合格的安全⽣产考核合格证（建安B证），须在本单位注册，且⽆在建项⽬（提供承诺）。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银行账号：30208471002935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 标代理服务收费管理暂行办法》（计价格 [2002]1980 号）和（发改办价格[2003]857 号）工程类收费标准，80万以下项目招标代理服务费3000元/项。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踏勘时间：2026-07-03 09:00:00</w:t>
            </w:r>
          </w:p>
          <w:p>
            <w:pPr>
              <w:pStyle w:val="null3"/>
              <w:ind w:firstLine="975"/>
            </w:pPr>
            <w:r>
              <w:rPr>
                <w:rFonts w:ascii="仿宋_GB2312" w:hAnsi="仿宋_GB2312" w:cs="仿宋_GB2312" w:eastAsia="仿宋_GB2312"/>
              </w:rPr>
              <w:t>踏勘地点：西安理工大学金花校区东门集合</w:t>
            </w:r>
          </w:p>
          <w:p>
            <w:pPr>
              <w:pStyle w:val="null3"/>
              <w:ind w:firstLine="975"/>
            </w:pPr>
            <w:r>
              <w:rPr>
                <w:rFonts w:ascii="仿宋_GB2312" w:hAnsi="仿宋_GB2312" w:cs="仿宋_GB2312" w:eastAsia="仿宋_GB2312"/>
              </w:rPr>
              <w:t>联系人：王莉</w:t>
            </w:r>
          </w:p>
          <w:p>
            <w:pPr>
              <w:pStyle w:val="null3"/>
              <w:ind w:firstLine="975"/>
            </w:pPr>
            <w:r>
              <w:rPr>
                <w:rFonts w:ascii="仿宋_GB2312" w:hAnsi="仿宋_GB2312" w:cs="仿宋_GB2312" w:eastAsia="仿宋_GB2312"/>
              </w:rPr>
              <w:t>联系电话号码：13259773661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781,126.33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金花校区学生公寓宿舍室内及公共区域粉刷维修项目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标的名称：金花校区学生公寓宿舍室内及公共区域粉刷维修项目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w:t>
            </w:r>
          </w:p>
          <w:p>
            <w:pPr>
              <w:pStyle w:val="null3"/>
            </w:pPr>
            <w:r>
              <w:rPr>
                <w:rFonts w:ascii="仿宋_GB2312" w:hAnsi="仿宋_GB2312" w:cs="仿宋_GB2312" w:eastAsia="仿宋_GB2312"/>
                <w:sz w:val="21"/>
              </w:rPr>
              <w:t>本项目</w:t>
            </w:r>
            <w:r>
              <w:rPr>
                <w:rFonts w:ascii="仿宋_GB2312" w:hAnsi="仿宋_GB2312" w:cs="仿宋_GB2312" w:eastAsia="仿宋_GB2312"/>
                <w:sz w:val="21"/>
              </w:rPr>
              <w:t>为金花校区学生公寓宿舍室内及公共区域粉刷维修（毕业腾空房、迎新宿舍），施工内容为金花校区学生宿舍室内墙面粉刷</w:t>
            </w:r>
            <w:r>
              <w:rPr>
                <w:rFonts w:ascii="仿宋_GB2312" w:hAnsi="仿宋_GB2312" w:cs="仿宋_GB2312" w:eastAsia="仿宋_GB2312"/>
                <w:sz w:val="21"/>
              </w:rPr>
              <w:t>138</w:t>
            </w:r>
            <w:r>
              <w:rPr>
                <w:rFonts w:ascii="仿宋_GB2312" w:hAnsi="仿宋_GB2312" w:cs="仿宋_GB2312" w:eastAsia="仿宋_GB2312"/>
                <w:sz w:val="21"/>
              </w:rPr>
              <w:t>间，施工方案包含铲墙皮、批腻子</w:t>
            </w:r>
            <w:r>
              <w:rPr>
                <w:rFonts w:ascii="仿宋_GB2312" w:hAnsi="仿宋_GB2312" w:cs="仿宋_GB2312" w:eastAsia="仿宋_GB2312"/>
                <w:sz w:val="21"/>
              </w:rPr>
              <w:t>2</w:t>
            </w:r>
            <w:r>
              <w:rPr>
                <w:rFonts w:ascii="仿宋_GB2312" w:hAnsi="仿宋_GB2312" w:cs="仿宋_GB2312" w:eastAsia="仿宋_GB2312"/>
                <w:sz w:val="21"/>
              </w:rPr>
              <w:t>遍、刷乳胶漆</w:t>
            </w:r>
            <w:r>
              <w:rPr>
                <w:rFonts w:ascii="仿宋_GB2312" w:hAnsi="仿宋_GB2312" w:cs="仿宋_GB2312" w:eastAsia="仿宋_GB2312"/>
                <w:sz w:val="21"/>
              </w:rPr>
              <w:t>2</w:t>
            </w:r>
            <w:r>
              <w:rPr>
                <w:rFonts w:ascii="仿宋_GB2312" w:hAnsi="仿宋_GB2312" w:cs="仿宋_GB2312" w:eastAsia="仿宋_GB2312"/>
                <w:sz w:val="21"/>
              </w:rPr>
              <w:t>遍，以及室内家具搬移及保护、保洁、建筑垃圾清运等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工期：</w:t>
            </w:r>
            <w:r>
              <w:rPr>
                <w:rFonts w:ascii="仿宋_GB2312" w:hAnsi="仿宋_GB2312" w:cs="仿宋_GB2312" w:eastAsia="仿宋_GB2312"/>
                <w:sz w:val="21"/>
              </w:rPr>
              <w:t>30</w:t>
            </w:r>
            <w:r>
              <w:rPr>
                <w:rFonts w:ascii="仿宋_GB2312" w:hAnsi="仿宋_GB2312" w:cs="仿宋_GB2312" w:eastAsia="仿宋_GB2312"/>
                <w:sz w:val="21"/>
              </w:rPr>
              <w:t>日历天</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项⽬地点：</w:t>
            </w:r>
            <w:r>
              <w:rPr>
                <w:rFonts w:ascii="仿宋_GB2312" w:hAnsi="仿宋_GB2312" w:cs="仿宋_GB2312" w:eastAsia="仿宋_GB2312"/>
                <w:sz w:val="21"/>
                <w:color w:val="000000"/>
              </w:rPr>
              <w:t>西安理⼯⼤学金花校区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质量要求：</w:t>
            </w:r>
            <w:r>
              <w:rPr>
                <w:rFonts w:ascii="仿宋_GB2312" w:hAnsi="仿宋_GB2312" w:cs="仿宋_GB2312" w:eastAsia="仿宋_GB2312"/>
                <w:sz w:val="21"/>
                <w:color w:val="000000"/>
              </w:rPr>
              <w:t>须符合国家施⼯验收规范要求，达到合格标准。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00000"/>
              </w:rPr>
              <w:t>质保期：</w:t>
            </w:r>
            <w:r>
              <w:rPr>
                <w:rFonts w:ascii="仿宋_GB2312" w:hAnsi="仿宋_GB2312" w:cs="仿宋_GB2312" w:eastAsia="仿宋_GB2312"/>
                <w:sz w:val="21"/>
                <w:color w:val="000000"/>
              </w:rPr>
              <w:t>质保期为两年，如承诺延⻓的按承诺期限。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color w:val="000000"/>
              </w:rPr>
              <w:t>技术要求</w:t>
            </w:r>
            <w:r>
              <w:rPr>
                <w:rFonts w:ascii="仿宋_GB2312" w:hAnsi="仿宋_GB2312" w:cs="仿宋_GB2312" w:eastAsia="仿宋_GB2312"/>
                <w:sz w:val="21"/>
                <w:color w:val="000000"/>
              </w:rPr>
              <w:t>：</w:t>
            </w:r>
          </w:p>
          <w:p>
            <w:pPr>
              <w:pStyle w:val="null3"/>
              <w:ind w:firstLine="14"/>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供应商应按招标⽂件中施⼯图纸、技术要求和⼯程量清单的要求编制响应⽂件，并在响应⽂件中注明主要</w:t>
            </w:r>
            <w:r>
              <w:rPr>
                <w:rFonts w:ascii="仿宋_GB2312" w:hAnsi="仿宋_GB2312" w:cs="仿宋_GB2312" w:eastAsia="仿宋_GB2312"/>
                <w:sz w:val="21"/>
                <w:color w:val="000000"/>
              </w:rPr>
              <w:t>材料选⽤品牌、规格型号等。如供应商在响应⽂件中未按要求注明材料品牌，则采购⼈有权按最有利于采购</w:t>
            </w:r>
            <w:r>
              <w:rPr>
                <w:rFonts w:ascii="仿宋_GB2312" w:hAnsi="仿宋_GB2312" w:cs="仿宋_GB2312" w:eastAsia="仿宋_GB2312"/>
                <w:sz w:val="21"/>
                <w:color w:val="000000"/>
              </w:rPr>
              <w:t>⼈的⽅式指定材料品牌（主要推荐品牌如下：乳胶漆：⽴邦、三棵树、多乐⼠等同档次级别品牌）。</w:t>
            </w:r>
          </w:p>
          <w:p>
            <w:pPr>
              <w:pStyle w:val="null3"/>
              <w:ind w:firstLine="2"/>
            </w:pPr>
            <w:r>
              <w:rPr>
                <w:rFonts w:ascii="仿宋_GB2312" w:hAnsi="仿宋_GB2312" w:cs="仿宋_GB2312" w:eastAsia="仿宋_GB2312"/>
                <w:sz w:val="21"/>
                <w:color w:val="000000"/>
              </w:rPr>
              <w:t>要求所有建筑材料采⽤环保型材料，阻燃、⽆毒、⽆害、⽆放射性。施⼯时，需提供主要施⼯材料来源渠道</w:t>
            </w:r>
            <w:r>
              <w:rPr>
                <w:rFonts w:ascii="仿宋_GB2312" w:hAnsi="仿宋_GB2312" w:cs="仿宋_GB2312" w:eastAsia="仿宋_GB2312"/>
                <w:sz w:val="21"/>
                <w:color w:val="000000"/>
              </w:rPr>
              <w:t>合法的证明⽂件（包括但不限于销售协议、代理协议、原⼚授权等）。因施⼯不善或材料使⽤不当发⽣⼯程</w:t>
            </w:r>
            <w:r>
              <w:rPr>
                <w:rFonts w:ascii="仿宋_GB2312" w:hAnsi="仿宋_GB2312" w:cs="仿宋_GB2312" w:eastAsia="仿宋_GB2312"/>
                <w:sz w:val="21"/>
                <w:color w:val="000000"/>
              </w:rPr>
              <w:t>事故及⼈员伤害的，责任和由此⽽发⽣的各种费⽤由施⼯单位全部承担。</w:t>
            </w:r>
          </w:p>
          <w:p>
            <w:pPr>
              <w:pStyle w:val="null3"/>
              <w:ind w:firstLine="6"/>
            </w:pPr>
            <w:r>
              <w:rPr>
                <w:rFonts w:ascii="仿宋_GB2312" w:hAnsi="仿宋_GB2312" w:cs="仿宋_GB2312" w:eastAsia="仿宋_GB2312"/>
                <w:sz w:val="21"/>
                <w:color w:val="000000"/>
              </w:rPr>
              <w:t>2.</w:t>
            </w:r>
            <w:r>
              <w:rPr>
                <w:rFonts w:ascii="仿宋_GB2312" w:hAnsi="仿宋_GB2312" w:cs="仿宋_GB2312" w:eastAsia="仿宋_GB2312"/>
                <w:sz w:val="21"/>
                <w:color w:val="000000"/>
              </w:rPr>
              <w:t>⼯程施⼯应按国家现⾏标准和相应的⾏业技术规范执⾏，这些标准和技术规范应为合同签订⽇为⽌最新公</w:t>
            </w:r>
            <w:r>
              <w:rPr>
                <w:rFonts w:ascii="仿宋_GB2312" w:hAnsi="仿宋_GB2312" w:cs="仿宋_GB2312" w:eastAsia="仿宋_GB2312"/>
                <w:sz w:val="21"/>
                <w:color w:val="000000"/>
              </w:rPr>
              <w:t>布发⾏的标准和技术规范。包括但不限于《建筑⼯程施⼯质量验收统⼀标准》</w:t>
            </w:r>
            <w:r>
              <w:rPr>
                <w:rFonts w:ascii="仿宋_GB2312" w:hAnsi="仿宋_GB2312" w:cs="仿宋_GB2312" w:eastAsia="仿宋_GB2312"/>
                <w:sz w:val="21"/>
                <w:color w:val="000000"/>
              </w:rPr>
              <w:t>GB 50300-2013</w:t>
            </w:r>
            <w:r>
              <w:rPr>
                <w:rFonts w:ascii="仿宋_GB2312" w:hAnsi="仿宋_GB2312" w:cs="仿宋_GB2312" w:eastAsia="仿宋_GB2312"/>
                <w:sz w:val="21"/>
                <w:color w:val="000000"/>
              </w:rPr>
              <w:t>。⼯程质量</w:t>
            </w:r>
            <w:r>
              <w:rPr>
                <w:rFonts w:ascii="仿宋_GB2312" w:hAnsi="仿宋_GB2312" w:cs="仿宋_GB2312" w:eastAsia="仿宋_GB2312"/>
                <w:sz w:val="21"/>
                <w:color w:val="000000"/>
              </w:rPr>
              <w:t>须符合国家施⼯验收规范要求，达到合格标准。</w:t>
            </w:r>
          </w:p>
          <w:p>
            <w:pPr>
              <w:pStyle w:val="null3"/>
              <w:jc w:val="both"/>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b/>
                <w:color w:val="000000"/>
              </w:rPr>
              <w:t>合同价款形式：</w:t>
            </w:r>
            <w:r>
              <w:rPr>
                <w:rFonts w:ascii="仿宋_GB2312" w:hAnsi="仿宋_GB2312" w:cs="仿宋_GB2312" w:eastAsia="仿宋_GB2312"/>
                <w:sz w:val="21"/>
                <w:color w:val="000000"/>
              </w:rPr>
              <w:t>固定综合单价。</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color w:val="000000"/>
              </w:rPr>
              <w:t>⼯程款⽀付：</w:t>
            </w:r>
          </w:p>
          <w:p>
            <w:pPr>
              <w:pStyle w:val="null3"/>
              <w:jc w:val="left"/>
            </w:pPr>
            <w:r>
              <w:rPr>
                <w:rFonts w:ascii="仿宋_GB2312" w:hAnsi="仿宋_GB2312" w:cs="仿宋_GB2312" w:eastAsia="仿宋_GB2312"/>
                <w:sz w:val="21"/>
                <w:color w:val="000000"/>
              </w:rPr>
              <w:t>合同签订、施⼯⽅进场后，⽀付合同价款的</w:t>
            </w:r>
            <w:r>
              <w:rPr>
                <w:rFonts w:ascii="仿宋_GB2312" w:hAnsi="仿宋_GB2312" w:cs="仿宋_GB2312" w:eastAsia="仿宋_GB2312"/>
                <w:sz w:val="21"/>
                <w:color w:val="000000"/>
              </w:rPr>
              <w:t>40%</w:t>
            </w:r>
            <w:r>
              <w:rPr>
                <w:rFonts w:ascii="仿宋_GB2312" w:hAnsi="仿宋_GB2312" w:cs="仿宋_GB2312" w:eastAsia="仿宋_GB2312"/>
                <w:sz w:val="21"/>
                <w:color w:val="000000"/>
              </w:rPr>
              <w:t>预付款，⼯程完⼯并经学校现场管理⼈员初验合格后，⽀</w:t>
            </w:r>
            <w:r>
              <w:rPr>
                <w:rFonts w:ascii="仿宋_GB2312" w:hAnsi="仿宋_GB2312" w:cs="仿宋_GB2312" w:eastAsia="仿宋_GB2312"/>
                <w:sz w:val="21"/>
                <w:color w:val="000000"/>
              </w:rPr>
              <w:t>付⾄合同价款的</w:t>
            </w:r>
            <w:r>
              <w:rPr>
                <w:rFonts w:ascii="仿宋_GB2312" w:hAnsi="仿宋_GB2312" w:cs="仿宋_GB2312" w:eastAsia="仿宋_GB2312"/>
                <w:sz w:val="21"/>
                <w:color w:val="000000"/>
              </w:rPr>
              <w:t>80%</w:t>
            </w:r>
            <w:r>
              <w:rPr>
                <w:rFonts w:ascii="仿宋_GB2312" w:hAnsi="仿宋_GB2312" w:cs="仿宋_GB2312" w:eastAsia="仿宋_GB2312"/>
                <w:sz w:val="21"/>
                <w:color w:val="000000"/>
              </w:rPr>
              <w:t>；⼯程竣⼯验收合格、结算经采购⼈审定并完成资料归档后，⽀付剩余全部⼯程款。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b/>
                <w:color w:val="000000"/>
              </w:rPr>
              <w:t>其它要求：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施⼯单位的⻝宿由施⼯⽅⾃⾏解决，应遵守国家和建设单位的各项规定，及时⾄建设单位保卫处办理⼊校</w:t>
            </w:r>
            <w:r>
              <w:rPr>
                <w:rFonts w:ascii="仿宋_GB2312" w:hAnsi="仿宋_GB2312" w:cs="仿宋_GB2312" w:eastAsia="仿宋_GB2312"/>
                <w:sz w:val="21"/>
                <w:color w:val="000000"/>
              </w:rPr>
              <w:t>相关⼿续，施⼯期间的所有安全问题及由此⽽发⽣的各种费⽤由施⼯单位全部负责和承担。</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项⽬踏勘现场时，请仔细研究设计图纸、⼯程量清单及现场情况，如有异议请及时提出，如⽆异议表⽰确</w:t>
            </w:r>
            <w:r>
              <w:rPr>
                <w:rFonts w:ascii="仿宋_GB2312" w:hAnsi="仿宋_GB2312" w:cs="仿宋_GB2312" w:eastAsia="仿宋_GB2312"/>
                <w:sz w:val="21"/>
                <w:color w:val="000000"/>
              </w:rPr>
              <w:t>认招标资料，中标后不予变更签证；如因建设单位要求确需变更签证的，需严格按照建设单位变更签证管理</w:t>
            </w:r>
            <w:r>
              <w:rPr>
                <w:rFonts w:ascii="仿宋_GB2312" w:hAnsi="仿宋_GB2312" w:cs="仿宋_GB2312" w:eastAsia="仿宋_GB2312"/>
                <w:sz w:val="21"/>
                <w:color w:val="000000"/>
              </w:rPr>
              <w:t>办法相关程序办理申批⼿续。</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施⼯产⽣的电费和⽔费由建设单位安装电表和⽔表计量，⽔费</w:t>
            </w:r>
            <w:r>
              <w:rPr>
                <w:rFonts w:ascii="仿宋_GB2312" w:hAnsi="仿宋_GB2312" w:cs="仿宋_GB2312" w:eastAsia="仿宋_GB2312"/>
                <w:sz w:val="21"/>
                <w:color w:val="000000"/>
              </w:rPr>
              <w:t>5 .80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w:t>
            </w:r>
            <w:r>
              <w:rPr>
                <w:rFonts w:ascii="仿宋_GB2312" w:hAnsi="仿宋_GB2312" w:cs="仿宋_GB2312" w:eastAsia="仿宋_GB2312"/>
                <w:sz w:val="21"/>
                <w:color w:val="000000"/>
              </w:rPr>
              <w:t>吨，电费</w:t>
            </w:r>
            <w:r>
              <w:rPr>
                <w:rFonts w:ascii="仿宋_GB2312" w:hAnsi="仿宋_GB2312" w:cs="仿宋_GB2312" w:eastAsia="仿宋_GB2312"/>
                <w:sz w:val="21"/>
                <w:color w:val="000000"/>
              </w:rPr>
              <w:t>0 .80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w:t>
            </w:r>
            <w:r>
              <w:rPr>
                <w:rFonts w:ascii="仿宋_GB2312" w:hAnsi="仿宋_GB2312" w:cs="仿宋_GB2312" w:eastAsia="仿宋_GB2312"/>
                <w:sz w:val="21"/>
                <w:color w:val="000000"/>
              </w:rPr>
              <w:t>度。</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施⼯单位必须按照建设单位要求，严格按照⼯期要求保质保量完成⼯程；若延误⼯期，每⽇按照合同总额</w:t>
            </w:r>
            <w:r>
              <w:rPr>
                <w:rFonts w:ascii="仿宋_GB2312" w:hAnsi="仿宋_GB2312" w:cs="仿宋_GB2312" w:eastAsia="仿宋_GB2312"/>
                <w:sz w:val="21"/>
                <w:color w:val="000000"/>
              </w:rPr>
              <w:t>的千分之五处罚（若因天⽓等不可抗⼒因素导致延误，需作书⾯说明）。</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成交供应商须向造价编制单位缴纳造价咨询费，详情⻅此磋商⽂件中的合同部分。中标单位在规定的时间</w:t>
            </w:r>
            <w:r>
              <w:rPr>
                <w:rFonts w:ascii="仿宋_GB2312" w:hAnsi="仿宋_GB2312" w:cs="仿宋_GB2312" w:eastAsia="仿宋_GB2312"/>
                <w:sz w:val="21"/>
                <w:color w:val="000000"/>
              </w:rPr>
              <w:t>内未签署合同或不遵守招标要求，采购⼈有权取消其中标资格，并将中标资格授予“评审结果成交候选⼈顺</w:t>
            </w:r>
            <w:r>
              <w:rPr>
                <w:rFonts w:ascii="仿宋_GB2312" w:hAnsi="仿宋_GB2312" w:cs="仿宋_GB2312" w:eastAsia="仿宋_GB2312"/>
                <w:sz w:val="21"/>
                <w:color w:val="000000"/>
              </w:rPr>
              <w:t>序”中排名第⼆的投标⼈。</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施⼯前，成交供应商应向建设单位后勤处维修管理科提交项⽬⼈员安排、进度计划表、安全措施、材料采</w:t>
            </w:r>
            <w:r>
              <w:rPr>
                <w:rFonts w:ascii="仿宋_GB2312" w:hAnsi="仿宋_GB2312" w:cs="仿宋_GB2312" w:eastAsia="仿宋_GB2312"/>
                <w:sz w:val="21"/>
                <w:color w:val="000000"/>
              </w:rPr>
              <w:t>购计划等（与响应⽂件⼀致），如有变动，应做书⾯说明并经建设单位认可。</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施⼯过程中，施⼯单位必须严格按照采购⽂件技术要求施⼯，服从现场负责⼈安排，尤其对隐蔽⼯程、主</w:t>
            </w:r>
            <w:r>
              <w:rPr>
                <w:rFonts w:ascii="仿宋_GB2312" w:hAnsi="仿宋_GB2312" w:cs="仿宋_GB2312" w:eastAsia="仿宋_GB2312"/>
                <w:sz w:val="21"/>
                <w:color w:val="000000"/>
              </w:rPr>
              <w:t>材进场等环节做好记录、验收⼯作，确保施⼯质量符合⼯程施⼯相关规范。如发现有偷⼯减料、使⽤不合格</w:t>
            </w:r>
            <w:r>
              <w:rPr>
                <w:rFonts w:ascii="仿宋_GB2312" w:hAnsi="仿宋_GB2312" w:cs="仿宋_GB2312" w:eastAsia="仿宋_GB2312"/>
                <w:sz w:val="21"/>
                <w:color w:val="000000"/>
              </w:rPr>
              <w:t>的建筑材料等⾏为的，应⽴即停⼯整改，每次按照合同额的百分之⼀进⾏罚款，并责令限期整改，承担由此</w:t>
            </w:r>
            <w:r>
              <w:rPr>
                <w:rFonts w:ascii="仿宋_GB2312" w:hAnsi="仿宋_GB2312" w:cs="仿宋_GB2312" w:eastAsia="仿宋_GB2312"/>
                <w:sz w:val="21"/>
                <w:color w:val="000000"/>
              </w:rPr>
              <w:t>造成的⼀切损失。</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成交供应商须严格落实安全协议书相关条款和提交的安全措施，如设置施⼯安全标志、施⼯⼈员佩戴安全</w:t>
            </w:r>
            <w:r>
              <w:rPr>
                <w:rFonts w:ascii="仿宋_GB2312" w:hAnsi="仿宋_GB2312" w:cs="仿宋_GB2312" w:eastAsia="仿宋_GB2312"/>
                <w:sz w:val="21"/>
                <w:color w:val="000000"/>
              </w:rPr>
              <w:t>防护⽤品、定期组织安全教育培训等。</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施⼯前要在⻔⼝张贴施⼯告⽰，明确⼯期、负责⼈及联系⽅式等，⼯程材料应集中堆放；施⼯时严格采取</w:t>
            </w:r>
            <w:r>
              <w:rPr>
                <w:rFonts w:ascii="仿宋_GB2312" w:hAnsi="仿宋_GB2312" w:cs="仿宋_GB2312" w:eastAsia="仿宋_GB2312"/>
                <w:sz w:val="21"/>
                <w:color w:val="000000"/>
              </w:rPr>
              <w:t>措施控制好扬尘、噪⾳；施⼯中产⽣的建筑垃圾应装袋后及时清理。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⼯程施⼯应按国家现⾏标准和相应的⾏业技术规范执⾏，这些标准和技术规范应为合同签订⽇为⽌最新公布发⾏的标准和技术规范。包括但不限于《建筑⼯程施⼯质量验收统⼀标准》GB 50300-2013。⼯程质量须符合国家施⼯验收规范要求，达到合格标准。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详⻅磋商⽂件及合同⽂本。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纸质响应⽂件要求：（1）成交供应商应在成交结果公告发布后5个⼯作⽇内提供纸质响应⽂件三份（正本壹份、副本贰份，分别胶装），响应⽂件需包含⽬录、⽆少⻚、缺⻚，从响应⽂件有内容的第⼀⻚开始连续⻚码（或单独使⽤打码器打码）。（2）邮寄联系⼈：王⼯，联系电话：13259773661。（3）成交供应商应保持响应⽂件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投标人资格条件证明文件.docx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投标人资格条件证明文件.docx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w:t>
            </w:r>
          </w:p>
        </w:tc>
        <w:tc>
          <w:tcPr>
            <w:tcW w:type="dxa" w:w="3322"/>
          </w:tcPr>
          <w:p>
            <w:pPr>
              <w:pStyle w:val="null3"/>
            </w:pPr>
            <w:r>
              <w:rPr>
                <w:rFonts w:ascii="仿宋_GB2312" w:hAnsi="仿宋_GB2312" w:cs="仿宋_GB2312" w:eastAsia="仿宋_GB2312"/>
              </w:rPr>
              <w:t>具有独⽴承担⺠事责任能⼒的法⼈、其他组织或⾃然⼈，提供合法有效的统⼀社会信⽤代码营业执照（事业单位提供法⼈证书，⾃然⼈提供⾝份证）。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 会计制度</w:t>
            </w:r>
          </w:p>
        </w:tc>
        <w:tc>
          <w:tcPr>
            <w:tcW w:type="dxa" w:w="3322"/>
          </w:tcPr>
          <w:p>
            <w:pPr>
              <w:pStyle w:val="null3"/>
            </w:pPr>
            <w:r>
              <w:rPr>
                <w:rFonts w:ascii="仿宋_GB2312" w:hAnsi="仿宋_GB2312" w:cs="仿宋_GB2312" w:eastAsia="仿宋_GB2312"/>
              </w:rPr>
              <w:t>法⼈提供经审计的2025年度财务报告（成⽴时间⾄响应⽂件递交截⽌时间不⾜⼀年的可提供成⽴后任意时段的资产负债表）或响应⽂件递交截⽌时间前六个⽉内银⾏出具的资信证明； 其他组织和⾃然⼈提供银⾏出具的资信证明或财务报表。注：①提供财务报告的，内容⾄少包括审计报告、附注。根据《财政部关于注册会计师⾏业统⼀监管平台上线运⾏的通知》财办〔2022〕32号⽂件要求，审计报告须有清晰可扫描查询的⼆维码（注册会计师⾏业统⼀监管平台⽹址：acc.mof.gov.cn），若审计报告未赋码视为⽆效。②提供资信证明的，必须提供资信证明全部⻚以及基本⼾信息（提供开⼾许可证或提供基本银⾏账⼾信息），银⾏出具的存款证明不能代替资信证明，存款证明⽆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提供响应⽂件递交截⽌时间前⼀年内⾄少⼀个⽉依法缴纳税收的相关凭据（时间以税款所属⽇期为准，凭据应有税务机关或代收机关的公章或业务专⽤章）；其他组织和⾃然⼈提供缴纳税收的凭据；依法免税的供应商应提供相关⽂件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有依法缴纳社会保障资⾦的良好记 录</w:t>
            </w:r>
          </w:p>
        </w:tc>
        <w:tc>
          <w:tcPr>
            <w:tcW w:type="dxa" w:w="3322"/>
          </w:tcPr>
          <w:p>
            <w:pPr>
              <w:pStyle w:val="null3"/>
            </w:pPr>
            <w:r>
              <w:rPr>
                <w:rFonts w:ascii="仿宋_GB2312" w:hAnsi="仿宋_GB2312" w:cs="仿宋_GB2312" w:eastAsia="仿宋_GB2312"/>
              </w:rPr>
              <w:t>提供响应⽂件递交截⽌时间前⼀年内⾄少⼀个⽉已缴纳的社会保障资⾦的凭据（社会保障资⾦缴存单据或社保机构开具的社会保险参保缴费情况证明）；依法不需要缴纳社会保障资⾦的供应商应提供相关⽂件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提供具有履⾏合同所必需的设备和专业技术能⼒的承诺。</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w:t>
            </w:r>
          </w:p>
        </w:tc>
        <w:tc>
          <w:tcPr>
            <w:tcW w:type="dxa" w:w="3322"/>
          </w:tcPr>
          <w:p>
            <w:pPr>
              <w:pStyle w:val="null3"/>
            </w:pPr>
            <w:r>
              <w:rPr>
                <w:rFonts w:ascii="仿宋_GB2312" w:hAnsi="仿宋_GB2312" w:cs="仿宋_GB2312" w:eastAsia="仿宋_GB2312"/>
              </w:rPr>
              <w:t>提供参加政府采购活动前三年内，在经营活动中没有重⼤违法记录的书⾯声明。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法定代表⼈授权书、法定代表⼈⾝份证明合格</w:t>
            </w:r>
          </w:p>
        </w:tc>
        <w:tc>
          <w:tcPr>
            <w:tcW w:type="dxa" w:w="3322"/>
          </w:tcPr>
          <w:p>
            <w:pPr>
              <w:pStyle w:val="null3"/>
            </w:pPr>
            <w:r>
              <w:rPr>
                <w:rFonts w:ascii="仿宋_GB2312" w:hAnsi="仿宋_GB2312" w:cs="仿宋_GB2312" w:eastAsia="仿宋_GB2312"/>
              </w:rPr>
              <w:t>提供合格的法定代表⼈授权书（附法定代表⼈、被授权⼈⾝份证复印件）或法定代表⼈⾝份证明（法定代表⼈直接参加的）。</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信⽤承诺</w:t>
            </w:r>
          </w:p>
        </w:tc>
        <w:tc>
          <w:tcPr>
            <w:tcW w:type="dxa" w:w="3322"/>
          </w:tcPr>
          <w:p>
            <w:pPr>
              <w:pStyle w:val="null3"/>
            </w:pPr>
            <w:r>
              <w:rPr>
                <w:rFonts w:ascii="仿宋_GB2312" w:hAnsi="仿宋_GB2312" w:cs="仿宋_GB2312" w:eastAsia="仿宋_GB2312"/>
              </w:rPr>
              <w:t>提供未被“信⽤中国”⽹站（www.creditchina. gov.cn）列⼊重⼤税收违法失信主体名单，未被“中国执⾏信息公开⽹”⽹站（zxgk.court.gov.cn）列⼊失信被执⾏⼈，未被“中国政府采购⽹”⽹站（www.ccgp.gov.cn）列⼊政府采购严重违法失信⾏为记录名单的承诺。</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供应商须具备建设⾏政主管部⻔颁发的建筑装修装饰⼯程专业承包⼆级以上（含⼆级）资质（或按国家住建部资质改⾰要求换发的新版建筑装修装饰⼯程专业承包⼄级以上（含⼄级）资质），具有有效的安全⽣产许可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供应商及拟派项⽬经理基本信息</w:t>
            </w:r>
          </w:p>
        </w:tc>
        <w:tc>
          <w:tcPr>
            <w:tcW w:type="dxa" w:w="3322"/>
          </w:tcPr>
          <w:p>
            <w:pPr>
              <w:pStyle w:val="null3"/>
            </w:pPr>
            <w:r>
              <w:rPr>
                <w:rFonts w:ascii="仿宋_GB2312" w:hAnsi="仿宋_GB2312" w:cs="仿宋_GB2312" w:eastAsia="仿宋_GB2312"/>
              </w:rPr>
              <w:t>供应商及拟派项⽬经理基本信息须在“陕西省住房和城乡建设厅⽹”⽹站（js.shaanxi.gov.cn）可查询（提供承诺）。</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外省进陕企业要求</w:t>
            </w:r>
          </w:p>
        </w:tc>
        <w:tc>
          <w:tcPr>
            <w:tcW w:type="dxa" w:w="3322"/>
          </w:tcPr>
          <w:p>
            <w:pPr>
              <w:pStyle w:val="null3"/>
            </w:pPr>
            <w:r>
              <w:rPr>
                <w:rFonts w:ascii="仿宋_GB2312" w:hAnsi="仿宋_GB2312" w:cs="仿宋_GB2312" w:eastAsia="仿宋_GB2312"/>
              </w:rPr>
              <w:t>供应商为外省进陕企业的，须提供陕西省住房和城乡建设厅官⽹企业库外省进陕企业信息⾸⻚截图。</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拟派项⽬负责⼈资格和专业要求</w:t>
            </w:r>
          </w:p>
        </w:tc>
        <w:tc>
          <w:tcPr>
            <w:tcW w:type="dxa" w:w="3322"/>
          </w:tcPr>
          <w:p>
            <w:pPr>
              <w:pStyle w:val="null3"/>
            </w:pPr>
            <w:r>
              <w:rPr>
                <w:rFonts w:ascii="仿宋_GB2312" w:hAnsi="仿宋_GB2312" w:cs="仿宋_GB2312" w:eastAsia="仿宋_GB2312"/>
              </w:rPr>
              <w:t>具备建筑⼯程专业⼆级以上（含⼆级）注册建造师资格及合格的安全⽣产考核合格证（建安B证），须在本单位注册，且⽆在建项⽬（提供承诺）。</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采购评审中出现下列情形之⼀的，磋商⼩组应 当启动异常低价响应审查程序：(1)响应报价低 于全部通过符合性审查供应商响应报价平均值5 0%的，即响应报价〈全部通过符合性审查供应 商响应报价平均值X50％；(2)响应报价低于通 过符合性审查的次低报价供应商响应报价的50 %，即响应报价〈通过符合性审查的次低报价供 应商响应报价X50%；(3)响应报价低于采购项 ⽬最⾼限价45%的，即响应报价&lt;采购项⽬最 ⾼限价X45%；(4)磋商⼩组基于专业判断，认 为供应商报价过低，有可能影响产品质量或者 不能诚信履约的其他情形。磋商⼩组启动异常 低价响应审查后，属于前述第(1)项⾄第(4)项情 形的，应当要求相关供应商在评审现场于30分 钟内对响应价格作出解释，提供项⽬具体成本 测算等与报价合理性相关的书⾯说明(书⾯说明 应当按照国家财务会计制度的规定要求，逐项 就供应商提供服务的主营业务成本、税⾦及附 加、销售费⽤、管理费⽤、财务费⽤等成本构 成进⾏说明)及必要的证明材料(类似项⽬类似报 价合同、验收报告、发票等；其中，属于第(3) 项情形，供应商已随响应⽂件⼀并提交相关书 ⾯说明及必要的证明材料的，在评审现场可不 再重复提交。供应商不能证明其报价合理性的 或者未在规定时间内提交材料或者提交了材料 但是材料不⻬全的，磋商⼩组应当将其作为⽆ 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供应商名称与营业执照⼀致</w:t>
            </w:r>
          </w:p>
        </w:tc>
        <w:tc>
          <w:tcPr>
            <w:tcW w:type="dxa" w:w="3322"/>
          </w:tcPr>
          <w:p>
            <w:pPr>
              <w:pStyle w:val="null3"/>
            </w:pPr>
            <w:r>
              <w:rPr>
                <w:rFonts w:ascii="仿宋_GB2312" w:hAnsi="仿宋_GB2312" w:cs="仿宋_GB2312" w:eastAsia="仿宋_GB2312"/>
              </w:rPr>
              <w:t>供应商名称与营业执照⼀致（合格）供应商名称与营业执照不⼀致（不合格）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响应⽂件按磋商⽂件要求的数量、计量单位、报价及签字盖章</w:t>
            </w:r>
          </w:p>
        </w:tc>
        <w:tc>
          <w:tcPr>
            <w:tcW w:type="dxa" w:w="3322"/>
          </w:tcPr>
          <w:p>
            <w:pPr>
              <w:pStyle w:val="null3"/>
            </w:pPr>
            <w:r>
              <w:rPr>
                <w:rFonts w:ascii="仿宋_GB2312" w:hAnsi="仿宋_GB2312" w:cs="仿宋_GB2312" w:eastAsia="仿宋_GB2312"/>
              </w:rPr>
              <w:t>响应⽂件按磋商⽂件要求的数量、计量单位、报价及签字盖章（合格）响应⽂件未按磋商⽂件要求的数量、计量单位、报价及签字盖章（不合格）</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响应有效期达到磋商⽂件要求</w:t>
            </w:r>
          </w:p>
        </w:tc>
        <w:tc>
          <w:tcPr>
            <w:tcW w:type="dxa" w:w="3322"/>
          </w:tcPr>
          <w:p>
            <w:pPr>
              <w:pStyle w:val="null3"/>
            </w:pPr>
            <w:r>
              <w:rPr>
                <w:rFonts w:ascii="仿宋_GB2312" w:hAnsi="仿宋_GB2312" w:cs="仿宋_GB2312" w:eastAsia="仿宋_GB2312"/>
              </w:rPr>
              <w:t>响应有效期达到磋商⽂件要求（合格）响应有效期未达到磋商⽂件要求（不合格）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技术、服务、商务响应满⾜实质性要求</w:t>
            </w:r>
          </w:p>
        </w:tc>
        <w:tc>
          <w:tcPr>
            <w:tcW w:type="dxa" w:w="3322"/>
          </w:tcPr>
          <w:p>
            <w:pPr>
              <w:pStyle w:val="null3"/>
            </w:pPr>
            <w:r>
              <w:rPr>
                <w:rFonts w:ascii="仿宋_GB2312" w:hAnsi="仿宋_GB2312" w:cs="仿宋_GB2312" w:eastAsia="仿宋_GB2312"/>
              </w:rPr>
              <w:t>技术、服务响应满⾜磋商⽂件第三章第3 .1条“ 技术、服务标准和要求”；商务响应满⾜磋商⽂ 件第三章第3 .2条“商务要求”、3.3条“其他要求 ”（合格），任意⼀条不满⾜（不合格）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磋商保证⾦满⾜磋商⽂件要求</w:t>
            </w:r>
          </w:p>
        </w:tc>
        <w:tc>
          <w:tcPr>
            <w:tcW w:type="dxa" w:w="3322"/>
          </w:tcPr>
          <w:p>
            <w:pPr>
              <w:pStyle w:val="null3"/>
            </w:pPr>
            <w:r>
              <w:rPr>
                <w:rFonts w:ascii="仿宋_GB2312" w:hAnsi="仿宋_GB2312" w:cs="仿宋_GB2312" w:eastAsia="仿宋_GB2312"/>
              </w:rPr>
              <w:t>磋商保证⾦满⾜磋商⽂件要求（合格），磋商 保证⾦不满⾜磋商⽂件要求（不合格）</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符合法律、法规和磋商⽂件中规定 的其他实质性要求</w:t>
            </w:r>
          </w:p>
        </w:tc>
        <w:tc>
          <w:tcPr>
            <w:tcW w:type="dxa" w:w="3322"/>
          </w:tcPr>
          <w:p>
            <w:pPr>
              <w:pStyle w:val="null3"/>
            </w:pPr>
            <w:r>
              <w:rPr>
                <w:rFonts w:ascii="仿宋_GB2312" w:hAnsi="仿宋_GB2312" w:cs="仿宋_GB2312" w:eastAsia="仿宋_GB2312"/>
              </w:rPr>
              <w:t>符合法律、法规和磋商⽂件中规定的其他实质 性要求（合格）不符合法律、法规和磋商⽂件 中规定的其他实质性要求（不合格）</w:t>
            </w:r>
          </w:p>
        </w:tc>
        <w:tc>
          <w:tcPr>
            <w:tcW w:type="dxa" w:w="1661"/>
          </w:tcPr>
          <w:p>
            <w:pPr>
              <w:pStyle w:val="null3"/>
            </w:pPr>
            <w:r>
              <w:rPr>
                <w:rFonts w:ascii="仿宋_GB2312" w:hAnsi="仿宋_GB2312" w:cs="仿宋_GB2312" w:eastAsia="仿宋_GB2312"/>
              </w:rPr>
              <w:t>符合法律、法规和磋商⽂件中规定的其他实质性要求.docx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⼀、评审内容：供应商针对本项⽬实际需求提供施⼯⽅案，内容包含①施⼯部署；②进度计划；③技术 难点、应对措施；④施⼯流程图或⼯艺流程。⼆、评审标准：①完整性：内容详细全⾯，对本项⽬了解透彻；②可实施性：切合本项⽬实际情况，⽅案全⾯、施⼯步骤清晰、合理；③针对性：⽅案能够紧扣项⽬实际情况，内容科学合理。三、赋分标准：①施⼯部署：每完全满⾜⼀项评审标准得1分，内容有缺陷扣0.5分，缺项或未提供得0分，满分3分；②进度计划：每完全满⾜⼀项评审标准得1分，内容有缺陷扣0.5分，缺项或未提供得0分，满分3分；③技术难点、应对措施：每完全满⾜⼀项评审标准得1分，内容有缺陷扣0.5分，缺项或未提供得0分，满分3分；④施⼯流程图或⼯艺流程：每完全满⾜⼀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评审内容：供应商针对本项⽬实际需求提供确保⼯程质量的技术组织措施，内容包含①质量⽬标；②质量管理体系（体系需包含质量责任、⼈员培训、资源配置、质量检查、应急处理等环节)；③质量管理措施（需提供过往项⽬质量验收报告或第三⽅检测证明）。二、评审标准①完整性：内容详细全⾯，对本项⽬了解透彻；②可实施性：切合本项⽬实际情况，措施全⾯、清晰、合理；③针对性：⽅案能够紧扣项⽬实际情况，内容科学合理 。三、赋分标准：①质量⽬标：每完全满⾜⼀项评审标准得1分，内容有缺陷扣0.5分，缺项或未提供得0分，满分3分；②质量管理体系：每完全满⾜⼀项评审标准得2分，内容有缺陷扣1分，缺项或未提供得0分，满分6分；③质量管理措施：每完全满⾜⼀项评审标准得1分，内容有缺陷扣0.5分，缺项或 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确保安全⽂明施⼯的技术组织措施</w:t>
            </w:r>
          </w:p>
        </w:tc>
        <w:tc>
          <w:tcPr>
            <w:tcW w:type="dxa" w:w="2492"/>
          </w:tcPr>
          <w:p>
            <w:pPr>
              <w:pStyle w:val="null3"/>
            </w:pPr>
            <w:r>
              <w:rPr>
                <w:rFonts w:ascii="仿宋_GB2312" w:hAnsi="仿宋_GB2312" w:cs="仿宋_GB2312" w:eastAsia="仿宋_GB2312"/>
              </w:rPr>
              <w:t>⼀、评审内容：供应商针对本项⽬实际需求提供确保安全⽂明施⼯的技术组织措施，内容包含①安全⽬标及⽂明施⼯措施（措施包含场地整洁、噪⾳控制、扬尘治理（需附扬尘监测设备布置图））；②安全体系（体系包含安全管理制度、⼈员培训、应急演练、特种作业⼈员持证上岗管理）；③应急预案（涵盖常⻅安全事故场景）。⼆、评审标准：①完整性：内容详细全⾯，对本项⽬了解透彻；②可实施性：切合本项⽬实际情况，措施全⾯、清晰、合理；③针对性：⽅案能够紧扣项⽬实际情况，内容科学合理。三、赋分标准：①安全⽬标及⽂明施⼯措施：每完全满⾜⼀项评审标准得1分，内容有缺陷扣0.5分 ，缺项或未提供得0分，满分3分；②安全体系：每完全满⾜⼀项评审标准得1分，内容有缺陷扣0.5分，缺项或未提供得0分，满分3分；③ 应急预案：每完全满⾜⼀项评审标准得1分，内容有缺陷扣0.5分，缺项或未提供得0分，满分3分。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确保安全⽂明施⼯的技术组织措施.docx</w:t>
            </w:r>
          </w:p>
        </w:tc>
      </w:tr>
      <w:tr>
        <w:tc>
          <w:tcPr>
            <w:tcW w:type="dxa" w:w="831"/>
            <w:vMerge/>
          </w:tcPr>
          <w:p/>
        </w:tc>
        <w:tc>
          <w:tcPr>
            <w:tcW w:type="dxa" w:w="1661"/>
          </w:tcPr>
          <w:p>
            <w:pPr>
              <w:pStyle w:val="null3"/>
            </w:pPr>
            <w:r>
              <w:rPr>
                <w:rFonts w:ascii="仿宋_GB2312" w:hAnsi="仿宋_GB2312" w:cs="仿宋_GB2312" w:eastAsia="仿宋_GB2312"/>
              </w:rPr>
              <w:t>确保⼯期的技术组织 措施</w:t>
            </w:r>
          </w:p>
        </w:tc>
        <w:tc>
          <w:tcPr>
            <w:tcW w:type="dxa" w:w="2492"/>
          </w:tcPr>
          <w:p>
            <w:pPr>
              <w:pStyle w:val="null3"/>
            </w:pPr>
            <w:r>
              <w:rPr>
                <w:rFonts w:ascii="仿宋_GB2312" w:hAnsi="仿宋_GB2312" w:cs="仿宋_GB2312" w:eastAsia="仿宋_GB2312"/>
              </w:rPr>
              <w:t>⼀、评审内容：供应商针对本项⽬实际需求提供确保⼯期的技术组织措施，内容包含①⼯期计划；②关键节点⼯期分析；③延误⼯期补救措施。⼆、评审标准：①完整性 ：内容详细全⾯，对本项⽬了解透彻；②可实施性：切合本项⽬实际情况，措施全⾯、清晰、合理；③针对性：⽅案能够紧扣项⽬实际情况，内容科学合理。三、赋分标准 ：①⼯期计划：每完全满⾜⼀项评审标准得1分，内容有缺陷扣0.5分 ，缺项或未提供得0分，满分3分；②关键节点⼯期分析：每完全满⾜⼀项评审标准得1分，内容有缺陷扣0.5分，缺项或未提供得0分，满分3分；③延误⼯期补救措施：每完全满⾜⼀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确保⼯期的技术组织措施.docx</w:t>
            </w:r>
          </w:p>
        </w:tc>
      </w:tr>
      <w:tr>
        <w:tc>
          <w:tcPr>
            <w:tcW w:type="dxa" w:w="831"/>
            <w:vMerge/>
          </w:tcPr>
          <w:p/>
        </w:tc>
        <w:tc>
          <w:tcPr>
            <w:tcW w:type="dxa" w:w="1661"/>
          </w:tcPr>
          <w:p>
            <w:pPr>
              <w:pStyle w:val="null3"/>
            </w:pPr>
            <w:r>
              <w:rPr>
                <w:rFonts w:ascii="仿宋_GB2312" w:hAnsi="仿宋_GB2312" w:cs="仿宋_GB2312" w:eastAsia="仿宋_GB2312"/>
              </w:rPr>
              <w:t>施⼯机械配备和材料投⼊计划</w:t>
            </w:r>
          </w:p>
        </w:tc>
        <w:tc>
          <w:tcPr>
            <w:tcW w:type="dxa" w:w="2492"/>
          </w:tcPr>
          <w:p>
            <w:pPr>
              <w:pStyle w:val="null3"/>
            </w:pPr>
            <w:r>
              <w:rPr>
                <w:rFonts w:ascii="仿宋_GB2312" w:hAnsi="仿宋_GB2312" w:cs="仿宋_GB2312" w:eastAsia="仿宋_GB2312"/>
              </w:rPr>
              <w:t>⼀、评审内容：供应商针对本项⽬实际需求提供施⼯机械配备和材料投⼊计划，内容包含①施⼯机械配备；②材料投⼊计划（主要材料信息（名称、规格、数量等）与⼯程进度匹配）。⼆、评审标准：①⻬全程度：⻬全详细，能完全满⾜招标⽂件要求；②实⽤性：质量有保障、使⽤率⾼、安全性能强；③针对性：能紧扣项⽬实际情况配置合理科学；三、赋分标准：①施⼯机械配备：每完全满⾜⼀项评审标准得1分，内容有缺陷扣0.5分，缺项或未提供得0分，满分3分；②材料投⼊计划：每完全满⾜⼀项评审标准得1分，内容有缺陷扣0.5分 ，缺项或未提供得0分，满分3分。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施⼯机械配备和材料投⼊计划.docx</w:t>
            </w:r>
          </w:p>
        </w:tc>
      </w:tr>
      <w:tr>
        <w:tc>
          <w:tcPr>
            <w:tcW w:type="dxa" w:w="831"/>
            <w:vMerge/>
          </w:tcPr>
          <w:p/>
        </w:tc>
        <w:tc>
          <w:tcPr>
            <w:tcW w:type="dxa" w:w="1661"/>
          </w:tcPr>
          <w:p>
            <w:pPr>
              <w:pStyle w:val="null3"/>
            </w:pPr>
            <w:r>
              <w:rPr>
                <w:rFonts w:ascii="仿宋_GB2312" w:hAnsi="仿宋_GB2312" w:cs="仿宋_GB2312" w:eastAsia="仿宋_GB2312"/>
              </w:rPr>
              <w:t>项⽬组织管理机构及⼈员配备情况</w:t>
            </w:r>
          </w:p>
        </w:tc>
        <w:tc>
          <w:tcPr>
            <w:tcW w:type="dxa" w:w="2492"/>
          </w:tcPr>
          <w:p>
            <w:pPr>
              <w:pStyle w:val="null3"/>
            </w:pPr>
            <w:r>
              <w:rPr>
                <w:rFonts w:ascii="仿宋_GB2312" w:hAnsi="仿宋_GB2312" w:cs="仿宋_GB2312" w:eastAsia="仿宋_GB2312"/>
              </w:rPr>
              <w:t>1.项⽬组织管理机构（1分）：提供项⽬组织管理机构表得1分；未提供得0分。2.项⽬经理（2分）：具备同类项⽬经验（附合同包含项⽬经理署名⻚）得1分，具备⾼级⼯程师职称得1分（需提供职称证书）。3.项⽬⼈员配备（5分）：需配备技术负责⼈、专职安全员（需C证）、质检员（需质量员证书）等岗位，需提供岗位证书、劳动合同。每配备⼀⼈得1分，最⾼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主要材料环保性</w:t>
            </w:r>
          </w:p>
        </w:tc>
        <w:tc>
          <w:tcPr>
            <w:tcW w:type="dxa" w:w="2492"/>
          </w:tcPr>
          <w:p>
            <w:pPr>
              <w:pStyle w:val="null3"/>
            </w:pPr>
            <w:r>
              <w:rPr>
                <w:rFonts w:ascii="仿宋_GB2312" w:hAnsi="仿宋_GB2312" w:cs="仿宋_GB2312" w:eastAsia="仿宋_GB2312"/>
              </w:rPr>
              <w:t>提供主要材料（乳胶漆）的检测报告，符合国家现⾏标准得2分，未提供或不合格不得分。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主要材料环保性.docx</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1.保修期内服务措施(1分)：提供保修服务⼯作⽅案、回访计划及质量保修措施、保修团队⼈员名单、联系⽅式得1分，未提供得0分。2.保修承诺(1分)：质保期每延⻓半年得0.5分，最⾼1分；未延⻓此项不得分。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保修期内服务措施及保修承诺.docx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1⽇⾄今类似项⽬业绩，每提供⼀项有效业绩得2分，满分10分。注:业绩需提供中标通知书或官⽹中标公⽰截图或竣⼯验收证明或⼯程款发票中⾄少⼀项及合同（合同需含项⽬⾦额、⼯期、质量标准、签署时间等关键⻚）的复印件或扫描件加盖供应商公章，时间以合同签订时间为准。企业业绩与项⽬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价格分采⽤低价优先法，即实质性满⾜磋商⽂件要求且最终磋商报价最低的为磋商基准价，其价格分为 满分30分。其他供应商的价格分按照下列公式计算：磋商报价得分=(磋商基准价/磋商报价)×30。计算 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详见附件：确保⼯程质量的技术组织措施.docx</w:t>
      </w:r>
    </w:p>
    <w:p>
      <w:pPr>
        <w:pStyle w:val="null3"/>
        <w:ind w:firstLine="960"/>
      </w:pPr>
      <w:r>
        <w:rPr>
          <w:rFonts w:ascii="仿宋_GB2312" w:hAnsi="仿宋_GB2312" w:cs="仿宋_GB2312" w:eastAsia="仿宋_GB2312"/>
        </w:rPr>
        <w:t>详见附件：确保安全⽂明施⼯的技术组织措施.docx</w:t>
      </w:r>
    </w:p>
    <w:p>
      <w:pPr>
        <w:pStyle w:val="null3"/>
        <w:ind w:firstLine="960"/>
      </w:pPr>
      <w:r>
        <w:rPr>
          <w:rFonts w:ascii="仿宋_GB2312" w:hAnsi="仿宋_GB2312" w:cs="仿宋_GB2312" w:eastAsia="仿宋_GB2312"/>
        </w:rPr>
        <w:t>详见附件：确保⼯期的技术组织措施.docx</w:t>
      </w:r>
    </w:p>
    <w:p>
      <w:pPr>
        <w:pStyle w:val="null3"/>
        <w:ind w:firstLine="960"/>
      </w:pPr>
      <w:r>
        <w:rPr>
          <w:rFonts w:ascii="仿宋_GB2312" w:hAnsi="仿宋_GB2312" w:cs="仿宋_GB2312" w:eastAsia="仿宋_GB2312"/>
        </w:rPr>
        <w:t>详见附件：施⼯机械配备和材料投⼊计划.docx</w:t>
      </w:r>
    </w:p>
    <w:p>
      <w:pPr>
        <w:pStyle w:val="null3"/>
        <w:ind w:firstLine="960"/>
      </w:pPr>
      <w:r>
        <w:rPr>
          <w:rFonts w:ascii="仿宋_GB2312" w:hAnsi="仿宋_GB2312" w:cs="仿宋_GB2312" w:eastAsia="仿宋_GB2312"/>
        </w:rPr>
        <w:t>详见附件：主要材料环保性.docx</w:t>
      </w:r>
    </w:p>
    <w:p>
      <w:pPr>
        <w:pStyle w:val="null3"/>
        <w:ind w:firstLine="960"/>
      </w:pPr>
      <w:r>
        <w:rPr>
          <w:rFonts w:ascii="仿宋_GB2312" w:hAnsi="仿宋_GB2312" w:cs="仿宋_GB2312" w:eastAsia="仿宋_GB2312"/>
        </w:rPr>
        <w:t>详见附件：保修期内服务措施及保修承诺.docx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详见附件：符合法律、法规和磋商⽂件中规定的其他实质性要求.docx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详见附件：合同模版（2026后勤合同改）.docx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