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版本号：HDHZ2026CG00320260706001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西乡县生活垃圾填埋场坝体应急排险及环境修复治理项目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HDHZ2026CG003</w:t>
      </w:r>
      <w:r>
        <w:br/>
      </w:r>
      <w:r>
        <w:br/>
      </w:r>
      <w:r>
        <w:br/>
      </w:r>
    </w:p>
    <w:p>
      <w:pPr>
        <w:pStyle w:val="null3"/>
        <w:jc w:val="center"/>
        <w:outlineLvl w:val="2"/>
      </w:pPr>
      <w:r>
        <w:rPr>
          <w:rFonts w:ascii="仿宋_GB2312" w:hAnsi="仿宋_GB2312" w:cs="仿宋_GB2312" w:eastAsia="仿宋_GB2312"/>
          <w:sz w:val="28"/>
          <w:b/>
        </w:rPr>
        <w:t>西乡县住房和城乡建设管理局</w:t>
      </w:r>
    </w:p>
    <w:p>
      <w:pPr>
        <w:pStyle w:val="null3"/>
        <w:jc w:val="center"/>
        <w:outlineLvl w:val="2"/>
      </w:pPr>
      <w:r>
        <w:rPr>
          <w:rFonts w:ascii="仿宋_GB2312" w:hAnsi="仿宋_GB2312" w:cs="仿宋_GB2312" w:eastAsia="仿宋_GB2312"/>
          <w:sz w:val="28"/>
          <w:b/>
        </w:rPr>
        <w:t>华鼎工程咨询集团有限公司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华鼎工程咨询集团有限公司</w:t>
      </w:r>
      <w:r>
        <w:rPr>
          <w:rFonts w:ascii="仿宋_GB2312" w:hAnsi="仿宋_GB2312" w:cs="仿宋_GB2312" w:eastAsia="仿宋_GB2312"/>
        </w:rPr>
        <w:t>（以下简称“代理机构”）受</w:t>
      </w:r>
      <w:r>
        <w:rPr>
          <w:rFonts w:ascii="仿宋_GB2312" w:hAnsi="仿宋_GB2312" w:cs="仿宋_GB2312" w:eastAsia="仿宋_GB2312"/>
        </w:rPr>
        <w:t>西乡县住房和城乡建设管理局</w:t>
      </w:r>
      <w:r>
        <w:rPr>
          <w:rFonts w:ascii="仿宋_GB2312" w:hAnsi="仿宋_GB2312" w:cs="仿宋_GB2312" w:eastAsia="仿宋_GB2312"/>
        </w:rPr>
        <w:t>委托，拟对</w:t>
      </w:r>
      <w:r>
        <w:rPr>
          <w:rFonts w:ascii="仿宋_GB2312" w:hAnsi="仿宋_GB2312" w:cs="仿宋_GB2312" w:eastAsia="仿宋_GB2312"/>
        </w:rPr>
        <w:t>西乡县生活垃圾填埋场坝体应急排险及环境修复治理项目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HDHZ2026CG003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西乡县生活垃圾填埋场坝体应急排险及环境修复治理项目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西乡县生活垃圾填埋场坝体应急排险及环境修复治理项目位于汉中市西乡县堰口镇（二郎村 王家沟 / 古城村七组），主要施工内容为截水沟修筑工程355m,破损土工布+ HDPE 膜修复工程约21774m2,土工布（≥600g/m²）+HDPE 膜（厚度2.0mm），土工布+HDPE 膜与现有土工布+HDPE 膜采用热熔连接。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采购包1（西乡县生活垃圾填埋场坝体应急排险及环境修复治理项目）：属于专门面向中小企业采购。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单位负责人授权书及被授权人身份证：供应商应授权合法的人员参加投标，其中法定代表人直接参加的，须出具法定代表人证明书，并与营业执照上信息一致；被授权代表参加的，须出具法定代表人授权书及被授权人身份证；（非法人单位的负责人均参照执行）；</w:t>
      </w:r>
    </w:p>
    <w:p>
      <w:pPr>
        <w:pStyle w:val="null3"/>
      </w:pPr>
      <w:r>
        <w:rPr>
          <w:rFonts w:ascii="仿宋_GB2312" w:hAnsi="仿宋_GB2312" w:cs="仿宋_GB2312" w:eastAsia="仿宋_GB2312"/>
        </w:rPr>
        <w:t>3、供应商资格承诺函：提供“汉中市政府采购供应商资格承诺函”；</w:t>
      </w:r>
    </w:p>
    <w:p>
      <w:pPr>
        <w:pStyle w:val="null3"/>
      </w:pPr>
      <w:r>
        <w:rPr>
          <w:rFonts w:ascii="仿宋_GB2312" w:hAnsi="仿宋_GB2312" w:cs="仿宋_GB2312" w:eastAsia="仿宋_GB2312"/>
        </w:rPr>
        <w:t>4、供应商资质要求：供应商具备建设行政主管部门颁发的市政公用工程施工总承包三级（含三级）及以上资质等级或环保工程专业承包三级（含三级）及以上资质等级；并取得有效期内的安全生产许可证；</w:t>
      </w:r>
    </w:p>
    <w:p>
      <w:pPr>
        <w:pStyle w:val="null3"/>
      </w:pPr>
      <w:r>
        <w:rPr>
          <w:rFonts w:ascii="仿宋_GB2312" w:hAnsi="仿宋_GB2312" w:cs="仿宋_GB2312" w:eastAsia="仿宋_GB2312"/>
        </w:rPr>
        <w:t>5、拟派项目负责人资格要求：拟派项目经理需具备市政公用工程专业二级(含二级)以上注册建造师资格；并取得有效的安全生产考核B证并提供无在建工程承诺函；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西乡县住房和城乡建设管理局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陕西省西乡县金牛路31号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0916-3197035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华鼎工程咨询集团有限公司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陕西省汉中市汉台区荔枝路智诚雅居二层(国旺嘉隆建材城北侧)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0916-2697988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采购包1：1,511,113.85元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开户名称：华鼎工程咨询集团有限公司汉中分公司</w:t>
            </w:r>
          </w:p>
          <w:p>
            <w:pPr>
              <w:pStyle w:val="null3"/>
            </w:pPr>
            <w:r>
              <w:rPr>
                <w:rFonts w:ascii="仿宋_GB2312" w:hAnsi="仿宋_GB2312" w:cs="仿宋_GB2312" w:eastAsia="仿宋_GB2312"/>
              </w:rPr>
              <w:t>开户银行：长安银行股份有限公司汉中中山街支行</w:t>
            </w:r>
          </w:p>
          <w:p>
            <w:pPr>
              <w:pStyle w:val="null3"/>
            </w:pPr>
            <w:r>
              <w:rPr>
                <w:rFonts w:ascii="仿宋_GB2312" w:hAnsi="仿宋_GB2312" w:cs="仿宋_GB2312" w:eastAsia="仿宋_GB2312"/>
              </w:rPr>
              <w:t>银行账号：806060101428000888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代理服务费收费标准：本项目招标代理费按《招标代理服务收费管理暂行办法》所规定的收费标准计取，由 中标供应商 向招标代理机构支付。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西乡县住房和城乡建设管理局</w:t>
      </w:r>
      <w:r>
        <w:rPr>
          <w:rFonts w:ascii="仿宋_GB2312" w:hAnsi="仿宋_GB2312" w:cs="仿宋_GB2312" w:eastAsia="仿宋_GB2312"/>
        </w:rPr>
        <w:t>和</w:t>
      </w:r>
      <w:r>
        <w:rPr>
          <w:rFonts w:ascii="仿宋_GB2312" w:hAnsi="仿宋_GB2312" w:cs="仿宋_GB2312" w:eastAsia="仿宋_GB2312"/>
        </w:rPr>
        <w:t>华鼎工程咨询集团有限公司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西乡县住房和城乡建设管理局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华鼎工程咨询集团有限公司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西乡县住房和城乡建设管理局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华鼎工程咨询集团有限公司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投标单位要充分考虑知识产权问题，应保证采购单位免除且承担由于投标单位在其本 国使用该项目所需的材料和设计或其任何一部分时而引起第三方提出的侵犯专利权、商标权或工业设计权的起诉、行动、行政 程序索赔、请求等，以及采购单位为此而产生的损失和损害、费用和支出（包括律师费）。</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满足国家及行业相关规定，满足采购人实际使用要求。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华鼎工程咨询集团有限公司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华鼎工程咨询集团有限公司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华鼎工程咨询集团有限公司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联系人：李先生</w:t>
      </w:r>
    </w:p>
    <w:p>
      <w:pPr>
        <w:pStyle w:val="null3"/>
      </w:pPr>
      <w:r>
        <w:rPr>
          <w:rFonts w:ascii="仿宋_GB2312" w:hAnsi="仿宋_GB2312" w:cs="仿宋_GB2312" w:eastAsia="仿宋_GB2312"/>
        </w:rPr>
        <w:t>联系电话：0916-2697988</w:t>
      </w:r>
    </w:p>
    <w:p>
      <w:pPr>
        <w:pStyle w:val="null3"/>
      </w:pPr>
      <w:r>
        <w:rPr>
          <w:rFonts w:ascii="仿宋_GB2312" w:hAnsi="仿宋_GB2312" w:cs="仿宋_GB2312" w:eastAsia="仿宋_GB2312"/>
        </w:rPr>
        <w:t>地址：陕西省汉中市汉台区荔枝路智诚雅居二层(国旺嘉隆建材城北侧)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1,511,113.85</w:t>
      </w:r>
    </w:p>
    <w:p>
      <w:pPr>
        <w:pStyle w:val="null3"/>
      </w:pPr>
      <w:r>
        <w:rPr>
          <w:rFonts w:ascii="仿宋_GB2312" w:hAnsi="仿宋_GB2312" w:cs="仿宋_GB2312" w:eastAsia="仿宋_GB2312"/>
        </w:rPr>
        <w:t>采购包最高限价（元）: 1,511,113.85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西乡县生活垃圾填埋场坝体应急排险及环境修复治理项目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1,511,113.85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标的名称：西乡县生活垃圾填埋场坝体应急排险及环境修复治理项目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left"/>
            </w:pPr>
            <w:r>
              <w:rPr>
                <w:rFonts w:ascii="仿宋_GB2312" w:hAnsi="仿宋_GB2312" w:cs="仿宋_GB2312" w:eastAsia="仿宋_GB2312"/>
                <w:sz w:val="18"/>
                <w:b/>
              </w:rPr>
              <w:t>一、工程概况：</w:t>
            </w:r>
          </w:p>
          <w:p>
            <w:pPr>
              <w:pStyle w:val="null3"/>
              <w:ind w:firstLine="560"/>
              <w:jc w:val="left"/>
            </w:pPr>
            <w:r>
              <w:rPr>
                <w:rFonts w:ascii="仿宋_GB2312" w:hAnsi="仿宋_GB2312" w:cs="仿宋_GB2312" w:eastAsia="仿宋_GB2312"/>
                <w:sz w:val="18"/>
              </w:rPr>
              <w:t>西乡县生活垃圾填埋场坝体应急排险及环境修复治理项目位于汉中市西乡县堰口镇（二郎村 王家沟 / 古城村七组），主要施工内容为截水沟修筑工程355m,破损土工布+ HDPE 膜修复工程约21774m</w:t>
            </w:r>
            <w:r>
              <w:rPr>
                <w:rFonts w:ascii="仿宋_GB2312" w:hAnsi="仿宋_GB2312" w:cs="仿宋_GB2312" w:eastAsia="仿宋_GB2312"/>
                <w:sz w:val="18"/>
                <w:vertAlign w:val="superscript"/>
              </w:rPr>
              <w:t>2</w:t>
            </w:r>
            <w:r>
              <w:rPr>
                <w:rFonts w:ascii="仿宋_GB2312" w:hAnsi="仿宋_GB2312" w:cs="仿宋_GB2312" w:eastAsia="仿宋_GB2312"/>
                <w:sz w:val="18"/>
              </w:rPr>
              <w:t>,土工布（≥600g/m²）+HDPE 膜（厚度2.0mm），土工布+HDPE 膜与现有土工布+HDPE 膜采用热熔连接。</w:t>
            </w:r>
          </w:p>
          <w:p>
            <w:pPr>
              <w:pStyle w:val="null3"/>
              <w:ind w:firstLine="560"/>
              <w:jc w:val="left"/>
            </w:pPr>
            <w:r>
              <w:rPr>
                <w:rFonts w:ascii="仿宋_GB2312" w:hAnsi="仿宋_GB2312" w:cs="仿宋_GB2312" w:eastAsia="仿宋_GB2312"/>
                <w:sz w:val="18"/>
              </w:rPr>
              <w:t>二</w:t>
            </w:r>
            <w:r>
              <w:rPr>
                <w:rFonts w:ascii="仿宋_GB2312" w:hAnsi="仿宋_GB2312" w:cs="仿宋_GB2312" w:eastAsia="仿宋_GB2312"/>
                <w:sz w:val="18"/>
                <w:b/>
              </w:rPr>
              <w:t>、编制范围：</w:t>
            </w:r>
          </w:p>
          <w:p>
            <w:pPr>
              <w:pStyle w:val="null3"/>
              <w:ind w:firstLine="560"/>
              <w:jc w:val="left"/>
            </w:pPr>
            <w:r>
              <w:rPr>
                <w:rFonts w:ascii="仿宋_GB2312" w:hAnsi="仿宋_GB2312" w:cs="仿宋_GB2312" w:eastAsia="仿宋_GB2312"/>
                <w:sz w:val="18"/>
              </w:rPr>
              <w:t>西乡县生活垃圾填埋场坝体应急排险及环境修复治理项目（详见工程量清单）。</w:t>
            </w:r>
          </w:p>
          <w:p>
            <w:pPr>
              <w:pStyle w:val="null3"/>
              <w:ind w:firstLine="562"/>
              <w:jc w:val="left"/>
            </w:pPr>
            <w:r>
              <w:rPr>
                <w:rFonts w:ascii="仿宋_GB2312" w:hAnsi="仿宋_GB2312" w:cs="仿宋_GB2312" w:eastAsia="仿宋_GB2312"/>
                <w:sz w:val="18"/>
                <w:b/>
              </w:rPr>
              <w:t>三、编制依据：</w:t>
            </w:r>
          </w:p>
          <w:p>
            <w:pPr>
              <w:pStyle w:val="null3"/>
              <w:ind w:firstLine="560"/>
              <w:jc w:val="left"/>
            </w:pPr>
            <w:r>
              <w:rPr>
                <w:rFonts w:ascii="仿宋_GB2312" w:hAnsi="仿宋_GB2312" w:cs="仿宋_GB2312" w:eastAsia="仿宋_GB2312"/>
                <w:sz w:val="18"/>
              </w:rPr>
              <w:t>1. 西乡县住房和城乡建设管理局提供的《西乡县生活垃圾填埋场坝体应急排险及环境修复治理项目(环境工程专业施工图)》。</w:t>
            </w:r>
          </w:p>
          <w:p>
            <w:pPr>
              <w:pStyle w:val="null3"/>
              <w:ind w:firstLine="560"/>
              <w:jc w:val="left"/>
            </w:pPr>
            <w:r>
              <w:rPr>
                <w:rFonts w:ascii="仿宋_GB2312" w:hAnsi="仿宋_GB2312" w:cs="仿宋_GB2312" w:eastAsia="仿宋_GB2312"/>
                <w:sz w:val="18"/>
              </w:rPr>
              <w:t>2.《陕西省建设工程工程量清单计价标准及计算标准(2025)》、《陕西省消耗量定额章节说明及费用规则(2025)》、《陕西省基价表说明(2025)》及其他相关计价依据和办法。</w:t>
            </w:r>
          </w:p>
          <w:p>
            <w:pPr>
              <w:pStyle w:val="null3"/>
              <w:ind w:firstLine="560"/>
              <w:jc w:val="left"/>
            </w:pPr>
            <w:r>
              <w:rPr>
                <w:rFonts w:ascii="仿宋_GB2312" w:hAnsi="仿宋_GB2312" w:cs="仿宋_GB2312" w:eastAsia="仿宋_GB2312"/>
                <w:sz w:val="18"/>
              </w:rPr>
              <w:t>3.陕建规发〔2016〕100号文件关于调整陕西省建设工程计价依据的通知营业税改征增值税；陕建发〔2019〕45号文件《关于调整陕西省建设工程计价依据的通知》调整增值税税率。</w:t>
            </w:r>
          </w:p>
          <w:p>
            <w:pPr>
              <w:pStyle w:val="null3"/>
              <w:ind w:firstLine="560"/>
              <w:jc w:val="left"/>
            </w:pPr>
            <w:r>
              <w:rPr>
                <w:rFonts w:ascii="仿宋_GB2312" w:hAnsi="仿宋_GB2312" w:cs="仿宋_GB2312" w:eastAsia="仿宋_GB2312"/>
                <w:sz w:val="18"/>
              </w:rPr>
              <w:t>4.陕建发﹝2019﹞1246号文件《关于发布我省落实建筑工人实名制管理计价依据的通知》；陕建管发﹝2025﹞10号文件《陕西省住房和城乡建设厅关于印发2025陕西省建设工程费用规则等计价依据的通知》。</w:t>
            </w:r>
          </w:p>
          <w:p>
            <w:pPr>
              <w:pStyle w:val="null3"/>
              <w:ind w:firstLine="560"/>
              <w:jc w:val="left"/>
            </w:pPr>
            <w:r>
              <w:rPr>
                <w:rFonts w:ascii="仿宋_GB2312" w:hAnsi="仿宋_GB2312" w:cs="仿宋_GB2312" w:eastAsia="仿宋_GB2312"/>
                <w:sz w:val="18"/>
              </w:rPr>
              <w:t>5.与本工程相关的标准、规范等技术资料；本工程适用的常规施工方案、及与本工程有关的其他相关资料。</w:t>
            </w:r>
          </w:p>
          <w:p>
            <w:pPr>
              <w:pStyle w:val="null3"/>
              <w:ind w:firstLine="560"/>
              <w:jc w:val="left"/>
            </w:pPr>
            <w:r>
              <w:rPr>
                <w:rFonts w:ascii="仿宋_GB2312" w:hAnsi="仿宋_GB2312" w:cs="仿宋_GB2312" w:eastAsia="仿宋_GB2312"/>
                <w:sz w:val="18"/>
              </w:rPr>
              <w:t>6.汉中市建设工程造价管理办公室发布的《2026年第4期汉中建设工程造价信息》及当地材料市场价。</w:t>
            </w:r>
          </w:p>
          <w:p>
            <w:pPr>
              <w:pStyle w:val="null3"/>
              <w:ind w:firstLine="560"/>
              <w:jc w:val="left"/>
            </w:pPr>
            <w:r>
              <w:rPr>
                <w:rFonts w:ascii="仿宋_GB2312" w:hAnsi="仿宋_GB2312" w:cs="仿宋_GB2312" w:eastAsia="仿宋_GB2312"/>
                <w:sz w:val="18"/>
              </w:rPr>
              <w:t>7.本工程增值税税率按9%计取。</w:t>
            </w:r>
          </w:p>
          <w:p>
            <w:pPr>
              <w:pStyle w:val="null3"/>
              <w:ind w:left="555"/>
              <w:jc w:val="both"/>
            </w:pPr>
            <w:r>
              <w:rPr>
                <w:rFonts w:ascii="仿宋_GB2312" w:hAnsi="仿宋_GB2312" w:cs="仿宋_GB2312" w:eastAsia="仿宋_GB2312"/>
                <w:sz w:val="18"/>
                <w:b/>
              </w:rPr>
              <w:t>四、需要说明的问题</w:t>
            </w:r>
          </w:p>
          <w:p>
            <w:pPr>
              <w:pStyle w:val="null3"/>
              <w:ind w:firstLine="560"/>
              <w:jc w:val="left"/>
            </w:pPr>
            <w:r>
              <w:rPr>
                <w:rFonts w:ascii="仿宋_GB2312" w:hAnsi="仿宋_GB2312" w:cs="仿宋_GB2312" w:eastAsia="仿宋_GB2312"/>
                <w:sz w:val="18"/>
              </w:rPr>
              <w:t>1.本项目计取暂列金额7.50万元。</w:t>
            </w:r>
          </w:p>
          <w:p>
            <w:pPr>
              <w:pStyle w:val="null3"/>
              <w:ind w:firstLine="560"/>
              <w:jc w:val="left"/>
            </w:pPr>
            <w:r>
              <w:rPr>
                <w:rFonts w:ascii="仿宋_GB2312" w:hAnsi="仿宋_GB2312" w:cs="仿宋_GB2312" w:eastAsia="仿宋_GB2312"/>
                <w:sz w:val="18"/>
              </w:rPr>
              <w:t>2.大面积修复部分工程量平铺暂按10%考虑，斜铺暂按90%考虑。</w:t>
            </w:r>
          </w:p>
          <w:p>
            <w:pPr>
              <w:pStyle w:val="null3"/>
              <w:ind w:left="555"/>
              <w:jc w:val="both"/>
            </w:pPr>
            <w:r>
              <w:rPr>
                <w:rFonts w:ascii="仿宋_GB2312" w:hAnsi="仿宋_GB2312" w:cs="仿宋_GB2312" w:eastAsia="仿宋_GB2312"/>
                <w:sz w:val="18"/>
                <w:b/>
              </w:rPr>
              <w:t>五、预算价：</w:t>
            </w:r>
            <w:r>
              <w:rPr>
                <w:rFonts w:ascii="仿宋_GB2312" w:hAnsi="仿宋_GB2312" w:cs="仿宋_GB2312" w:eastAsia="仿宋_GB2312"/>
                <w:sz w:val="18"/>
                <w:b/>
              </w:rPr>
              <w:t>1</w:t>
            </w:r>
            <w:r>
              <w:rPr>
                <w:rFonts w:ascii="仿宋_GB2312" w:hAnsi="仿宋_GB2312" w:cs="仿宋_GB2312" w:eastAsia="仿宋_GB2312"/>
                <w:sz w:val="18"/>
                <w:b/>
              </w:rPr>
              <w:t>,</w:t>
            </w:r>
            <w:r>
              <w:rPr>
                <w:rFonts w:ascii="仿宋_GB2312" w:hAnsi="仿宋_GB2312" w:cs="仿宋_GB2312" w:eastAsia="仿宋_GB2312"/>
                <w:sz w:val="18"/>
                <w:b/>
              </w:rPr>
              <w:t>5</w:t>
            </w:r>
            <w:r>
              <w:rPr>
                <w:rFonts w:ascii="仿宋_GB2312" w:hAnsi="仿宋_GB2312" w:cs="仿宋_GB2312" w:eastAsia="仿宋_GB2312"/>
                <w:sz w:val="18"/>
                <w:b/>
              </w:rPr>
              <w:t>11,113.85元</w:t>
            </w:r>
          </w:p>
          <w:p>
            <w:pPr>
              <w:pStyle w:val="null3"/>
              <w:ind w:firstLine="1120"/>
              <w:jc w:val="both"/>
            </w:pPr>
            <w:r>
              <w:rPr>
                <w:rFonts w:ascii="仿宋_GB2312" w:hAnsi="仿宋_GB2312" w:cs="仿宋_GB2312" w:eastAsia="仿宋_GB2312"/>
                <w:sz w:val="18"/>
              </w:rPr>
              <w:t>其中：分部分项工程费：1,233,648.46元；</w:t>
            </w:r>
          </w:p>
          <w:p>
            <w:pPr>
              <w:pStyle w:val="null3"/>
              <w:ind w:firstLine="1918"/>
              <w:jc w:val="both"/>
            </w:pPr>
            <w:r>
              <w:rPr>
                <w:rFonts w:ascii="仿宋_GB2312" w:hAnsi="仿宋_GB2312" w:cs="仿宋_GB2312" w:eastAsia="仿宋_GB2312"/>
                <w:sz w:val="18"/>
              </w:rPr>
              <w:t>措施项目费：77,694.52元；</w:t>
            </w:r>
          </w:p>
          <w:p>
            <w:pPr>
              <w:pStyle w:val="null3"/>
              <w:ind w:firstLine="1918"/>
              <w:jc w:val="both"/>
            </w:pPr>
            <w:r>
              <w:rPr>
                <w:rFonts w:ascii="仿宋_GB2312" w:hAnsi="仿宋_GB2312" w:cs="仿宋_GB2312" w:eastAsia="仿宋_GB2312"/>
                <w:sz w:val="18"/>
              </w:rPr>
              <w:t>其他项目费：75,000.00元</w:t>
            </w:r>
          </w:p>
          <w:p>
            <w:pPr>
              <w:pStyle w:val="null3"/>
              <w:ind w:firstLine="1918"/>
              <w:jc w:val="both"/>
            </w:pPr>
            <w:r>
              <w:rPr>
                <w:rFonts w:ascii="仿宋_GB2312" w:hAnsi="仿宋_GB2312" w:cs="仿宋_GB2312" w:eastAsia="仿宋_GB2312"/>
                <w:sz w:val="18"/>
              </w:rPr>
              <w:t>增值税：124,770.87元。</w:t>
            </w:r>
          </w:p>
          <w:p>
            <w:pPr>
              <w:pStyle w:val="null3"/>
              <w:ind w:firstLine="562"/>
              <w:jc w:val="both"/>
            </w:pPr>
            <w:r>
              <w:rPr>
                <w:rFonts w:ascii="仿宋_GB2312" w:hAnsi="仿宋_GB2312" w:cs="仿宋_GB2312" w:eastAsia="仿宋_GB2312"/>
                <w:sz w:val="18"/>
                <w:b/>
              </w:rPr>
              <w:t>六、工期与质量等级要求</w:t>
            </w:r>
          </w:p>
          <w:p>
            <w:pPr>
              <w:pStyle w:val="null3"/>
              <w:ind w:firstLine="1120"/>
              <w:jc w:val="both"/>
            </w:pPr>
            <w:r>
              <w:rPr>
                <w:rFonts w:ascii="仿宋_GB2312" w:hAnsi="仿宋_GB2312" w:cs="仿宋_GB2312" w:eastAsia="仿宋_GB2312"/>
                <w:sz w:val="18"/>
              </w:rPr>
              <w:t>工期：90天                    质量等级：合格</w:t>
            </w:r>
          </w:p>
          <w:p>
            <w:pPr>
              <w:pStyle w:val="null3"/>
              <w:numPr>
                <w:ilvl w:val="0"/>
                <w:numId w:val="1"/>
              </w:numPr>
              <w:jc w:val="both"/>
            </w:pPr>
            <w:r>
              <w:rPr>
                <w:rFonts w:ascii="仿宋_GB2312" w:hAnsi="仿宋_GB2312" w:cs="仿宋_GB2312" w:eastAsia="仿宋_GB2312"/>
                <w:sz w:val="18"/>
                <w:b/>
              </w:rPr>
              <w:t>本工程工程量清单采用广联达云计价平台GCCP7.0,版本号7.5000.23.2。</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满足国家及行业相关规定，满足设计图纸、采购文件、采购人等相关要求。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满足国家及行业相关规定，满足设计图纸、采购文件、采购人等相关要求。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工期：自签订合同之日起90天。质保期：按《建设工程质量管理条例》等国家规定执行。质量标准：合格。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 强制优先采购产品承诺函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w:t>
            </w:r>
          </w:p>
        </w:tc>
        <w:tc>
          <w:tcPr>
            <w:tcW w:type="dxa" w:w="3322"/>
          </w:tcPr>
          <w:p>
            <w:pPr>
              <w:pStyle w:val="null3"/>
            </w:pPr>
            <w:r>
              <w:rPr>
                <w:rFonts w:ascii="仿宋_GB2312" w:hAnsi="仿宋_GB2312" w:cs="仿宋_GB2312" w:eastAsia="仿宋_GB2312"/>
              </w:rPr>
              <w:t>供应商应授权合法的人员参加投标，其中法定代表人直接参加的，须出具法定代表人证明书，并与营业执照上信息一致；被授权代表参加的，须出具法定代表人授权书及被授权人身份证；（非法人单位的负责人均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供应商具备建设行政主管部门颁发的市政公用工程施工总承包三级（含三级）及以上资质等级或环保工程专业承包三级（含三级）及以上资质等级；并取得有效期内的安全生产许可证；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拟派项目负责人资格要求</w:t>
            </w:r>
          </w:p>
        </w:tc>
        <w:tc>
          <w:tcPr>
            <w:tcW w:type="dxa" w:w="3322"/>
          </w:tcPr>
          <w:p>
            <w:pPr>
              <w:pStyle w:val="null3"/>
            </w:pPr>
            <w:r>
              <w:rPr>
                <w:rFonts w:ascii="仿宋_GB2312" w:hAnsi="仿宋_GB2312" w:cs="仿宋_GB2312" w:eastAsia="仿宋_GB2312"/>
              </w:rPr>
              <w:t>拟派项目经理需具备市政公用工程专业二级(含二级)以上注册建造师资格；并取得有效的安全生产考核B证并提供无在建工程承诺函；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审查施工内容、投标报价、质保期等是否满足</w:t>
            </w:r>
          </w:p>
        </w:tc>
        <w:tc>
          <w:tcPr>
            <w:tcW w:type="dxa" w:w="3322"/>
          </w:tcPr>
          <w:p>
            <w:pPr>
              <w:pStyle w:val="null3"/>
            </w:pPr>
            <w:r>
              <w:rPr>
                <w:rFonts w:ascii="仿宋_GB2312" w:hAnsi="仿宋_GB2312" w:cs="仿宋_GB2312" w:eastAsia="仿宋_GB2312"/>
              </w:rPr>
              <w:t>审查投标文件中施工内容、投标报价、质保期等是否满足采购文件要求。</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审查投标文件签署及盖章是否满足要求</w:t>
            </w:r>
          </w:p>
        </w:tc>
        <w:tc>
          <w:tcPr>
            <w:tcW w:type="dxa" w:w="3322"/>
          </w:tcPr>
          <w:p>
            <w:pPr>
              <w:pStyle w:val="null3"/>
            </w:pPr>
            <w:r>
              <w:rPr>
                <w:rFonts w:ascii="仿宋_GB2312" w:hAnsi="仿宋_GB2312" w:cs="仿宋_GB2312" w:eastAsia="仿宋_GB2312"/>
              </w:rPr>
              <w:t>审查投标文件签署及盖章是否符合招标文件要求；</w:t>
            </w:r>
          </w:p>
        </w:tc>
        <w:tc>
          <w:tcPr>
            <w:tcW w:type="dxa" w:w="1661"/>
          </w:tcPr>
          <w:p>
            <w:pPr>
              <w:pStyle w:val="null3"/>
            </w:pPr>
            <w:r>
              <w:rPr>
                <w:rFonts w:ascii="仿宋_GB2312" w:hAnsi="仿宋_GB2312" w:cs="仿宋_GB2312" w:eastAsia="仿宋_GB2312"/>
              </w:rPr>
              <w:t>响应文件封面 已标价工程量清单 供应商应提交的相关资格证明材料.docx 中小企业声明函 残疾人福利性单位声明函 报价函 标的清单 响应函 监狱企业的证明文件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投标人针对本项目编制完善的施工方案，内容包含但不限于：①具体施工内容、施工次序，②施工方法，③现场施工问题处理。 二、赋分标准： （1）完整性：方案内容完整全面，对上述各项内容均有描述及说明，得3.0分；缺1项，得2.0分；缺2项，得1.0分；缺3项，得0分； （2）针对性：针对性强，得4.0分；针对性一般，得2.0分；缺乏针对性，得1.0分；未按要求进行响应的，得0分； （3）可实施性：可实施性强，得3.0分；可实施性一般，得2.0分；缺乏可实施性，得1.0分。未按要求进行响应的，得0分； 二、评审标准： 1、针对性： （1）针对性强：方案能够完全切合本项目实际情况。（2）针对性一般：方案中多数内容能够切合本项目实际情况，但存在至少一处不适用本项目实际的内容。（3）缺乏针对性：方案描述不符合本项目实际情况，存在明显套用其他项目方案的内容。 2、可实施性： （1）可实施性强：方案工作流程完善，实施步骤清晰，科学合理，可操作性强。 （2）可实施性一般：方案中存在至少一处表述模糊、难以执行或不够科学合理的内容。 （3）缺乏可实施性：方案内容空洞，工作流程不完善，实施标准、实施质量不利于采购需求的实现，存在逻辑漏洞、常识错误或合理性差。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详细评审1-施工方案.docx</w:t>
            </w:r>
          </w:p>
        </w:tc>
      </w:tr>
      <w:tr>
        <w:tc>
          <w:tcPr>
            <w:tcW w:type="dxa" w:w="831"/>
            <w:vMerge/>
          </w:tcPr>
          <w:p/>
        </w:tc>
        <w:tc>
          <w:tcPr>
            <w:tcW w:type="dxa" w:w="1661"/>
          </w:tcPr>
          <w:p>
            <w:pPr>
              <w:pStyle w:val="null3"/>
            </w:pPr>
            <w:r>
              <w:rPr>
                <w:rFonts w:ascii="仿宋_GB2312" w:hAnsi="仿宋_GB2312" w:cs="仿宋_GB2312" w:eastAsia="仿宋_GB2312"/>
              </w:rPr>
              <w:t>工程质量的保障措施</w:t>
            </w:r>
          </w:p>
        </w:tc>
        <w:tc>
          <w:tcPr>
            <w:tcW w:type="dxa" w:w="2492"/>
          </w:tcPr>
          <w:p>
            <w:pPr>
              <w:pStyle w:val="null3"/>
            </w:pPr>
            <w:r>
              <w:rPr>
                <w:rFonts w:ascii="仿宋_GB2312" w:hAnsi="仿宋_GB2312" w:cs="仿宋_GB2312" w:eastAsia="仿宋_GB2312"/>
              </w:rPr>
              <w:t>一、评审内容： 投标人针对本项目编制完善的工程质量技术组织措施，内容包含但不限于：①质量目标管理体系，②施工质量的检验制度，③确保质量的技术组织措施。 二、赋分标准： （1）完整性：方案内容完整全面，对上述各项内容均有描述及说明，得3.0分；缺1项，得2.0分；缺2项，得1分；缺3项，得0分； （2）针对性：针对性强，得4.0分；针对性一般，得2.0分；缺乏针对性，得1.0分。未按要求进行响应的，得0分； （3）可实施性：可实施性强，得3.0分；可实施性一般，得2.0分；缺乏可实施性，得1.0分。未按要求进行响应的，得0分； 二、评审标准： 1、针对性： （1）针对性强：方案能够完全切合本项目实际情况。（2）针对性一般：方案中多数内容能够切合本项目实际情况，但存在至少一处不适用本项目实际的内容。（3）缺乏针对性：方案描述不符合本项目实际情况，存在明显套用其他项目方案的内容。 2、可实施性： （1）可实施性强：方案工作流程完善，实施步骤清晰，科学合理，可操作性强。 （2）可实施性一般：方案中存在至少一处表述模糊、难以执行或不够科学合理的内容。 （3）缺乏可实施性：方案内容空洞，工作流程不完善，实施标准、实施质量不利于采购需求的实现，存在逻辑漏洞、常识错误或合理性差。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详细评审2-工程质量的保证措施.docx</w:t>
            </w:r>
          </w:p>
        </w:tc>
      </w:tr>
      <w:tr>
        <w:tc>
          <w:tcPr>
            <w:tcW w:type="dxa" w:w="831"/>
            <w:vMerge/>
          </w:tcPr>
          <w:p/>
        </w:tc>
        <w:tc>
          <w:tcPr>
            <w:tcW w:type="dxa" w:w="1661"/>
          </w:tcPr>
          <w:p>
            <w:pPr>
              <w:pStyle w:val="null3"/>
            </w:pPr>
            <w:r>
              <w:rPr>
                <w:rFonts w:ascii="仿宋_GB2312" w:hAnsi="仿宋_GB2312" w:cs="仿宋_GB2312" w:eastAsia="仿宋_GB2312"/>
              </w:rPr>
              <w:t>工程进度的保障措施</w:t>
            </w:r>
          </w:p>
        </w:tc>
        <w:tc>
          <w:tcPr>
            <w:tcW w:type="dxa" w:w="2492"/>
          </w:tcPr>
          <w:p>
            <w:pPr>
              <w:pStyle w:val="null3"/>
            </w:pPr>
            <w:r>
              <w:rPr>
                <w:rFonts w:ascii="仿宋_GB2312" w:hAnsi="仿宋_GB2312" w:cs="仿宋_GB2312" w:eastAsia="仿宋_GB2312"/>
              </w:rPr>
              <w:t>一、评审内容： 投标人针对本项目编制完善的工程进度保障措施，内容包含但不限于：①工程进度保障措施方案，②劳动力安排计划，③施工进度网络图或施工进度表。 二、赋分标准： （1）完整性：方案内容完整全面，对上述各项内容均有描述及说明，得3.0分；缺1项，得2.0分；缺2项，得1分；缺3项，得0分； （2）针对性：针对性强，得4.0分；针对性一般，得2.0分；缺乏针对性，得1.0分。未按要求进行响应的，得0分； （3）可实施性：可实施性强，得3.0分；可实施性一般，得2.0分；缺乏可实施性，得1.0分。未按要求进行响应的，得0分； 二、评审标准： 1、针对性： （1）针对性强：方案能够完全切合本项目实际情况。（2）针对性一般：方案中多数内容能够切合本项目实际情况，但存在至少一处不适用本项目实际的内容。（3）缺乏针对性：方案描述不符合本项目实际情况，存在明显套用其他项目方案的内容。 2、可实施性： （1）可实施性强：方案工作流程完善，实施步骤清晰，科学合理，可操作性强。 （2）可实施性一般：方案中存在至少一处表述模糊、难以执行或不够科学合理的内容。 （3）缺乏可实施性：方案内容空洞，工作流程不完善，实施标准、实施质量不利于采购需求的实现，存在逻辑漏洞、常识错误或合理性差。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详细评审3-工程进度的保证措施.docx</w:t>
            </w:r>
          </w:p>
        </w:tc>
      </w:tr>
      <w:tr>
        <w:tc>
          <w:tcPr>
            <w:tcW w:type="dxa" w:w="831"/>
            <w:vMerge/>
          </w:tcPr>
          <w:p/>
        </w:tc>
        <w:tc>
          <w:tcPr>
            <w:tcW w:type="dxa" w:w="1661"/>
          </w:tcPr>
          <w:p>
            <w:pPr>
              <w:pStyle w:val="null3"/>
            </w:pPr>
            <w:r>
              <w:rPr>
                <w:rFonts w:ascii="仿宋_GB2312" w:hAnsi="仿宋_GB2312" w:cs="仿宋_GB2312" w:eastAsia="仿宋_GB2312"/>
              </w:rPr>
              <w:t>安全文明施工的保障措施</w:t>
            </w:r>
          </w:p>
        </w:tc>
        <w:tc>
          <w:tcPr>
            <w:tcW w:type="dxa" w:w="2492"/>
          </w:tcPr>
          <w:p>
            <w:pPr>
              <w:pStyle w:val="null3"/>
            </w:pPr>
            <w:r>
              <w:rPr>
                <w:rFonts w:ascii="仿宋_GB2312" w:hAnsi="仿宋_GB2312" w:cs="仿宋_GB2312" w:eastAsia="仿宋_GB2312"/>
              </w:rPr>
              <w:t>一、评审内容： 投标人针对本项目编制完善的安全文明施工保障措施，内容包含但不限于：①安全施工目标及施工现场的临时管理措施，②文明施工保障措施，③环保控制措施：污染物及废弃物处理的排放、噪音控制、防尘及扬尘的控制措施。 二、赋分标准： （1）完整性：方案内容完整全面，对上述各项内容均有描述及说明，得3.0分；缺1项，得2.0分；缺2项，得1分；缺3项，得0分； （2）针对性：针对性强，得4.0分；针对性一般，得2.0分；缺乏针对性，得1.0分。未按要求进行响应的，得0分； （3）可实施性：可实施性强，得3.0分；可实施性一般，得2.0分；缺乏可实施性，得1.0分。未按要求进行响应的，得0分； 二、评审标准： 1、针对性： （1）针对性强：方案能够完全切合本项目实际情况。（2）针对性一般：方案中多数内容能够切合本项目实际情况，但存在至少一处不适用本项目实际的内容。（3）缺乏针对性：方案描述不符合本项目实际情况，存在明显套用其他项目方案的内容。 2、可实施性： （1）可实施性强：方案工作流程完善，实施步骤清晰，科学合理，可操作性强。 （2）可实施性一般：方案中存在至少一处表述模糊、难以执行或不够科学合理的内容。 （3）缺乏可实施性：方案内容空洞，工作流程不完善，实施标准、实施质量不利于采购需求的实现，存在逻辑漏洞、常识错误或合理性差。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详细评审4-安全文明施工的保障措施.docx</w:t>
            </w:r>
          </w:p>
        </w:tc>
      </w:tr>
      <w:tr>
        <w:tc>
          <w:tcPr>
            <w:tcW w:type="dxa" w:w="831"/>
            <w:vMerge/>
          </w:tcPr>
          <w:p/>
        </w:tc>
        <w:tc>
          <w:tcPr>
            <w:tcW w:type="dxa" w:w="1661"/>
          </w:tcPr>
          <w:p>
            <w:pPr>
              <w:pStyle w:val="null3"/>
            </w:pPr>
            <w:r>
              <w:rPr>
                <w:rFonts w:ascii="仿宋_GB2312" w:hAnsi="仿宋_GB2312" w:cs="仿宋_GB2312" w:eastAsia="仿宋_GB2312"/>
              </w:rPr>
              <w:t>施工材料投入计划和机械设备配备计划</w:t>
            </w:r>
          </w:p>
        </w:tc>
        <w:tc>
          <w:tcPr>
            <w:tcW w:type="dxa" w:w="2492"/>
          </w:tcPr>
          <w:p>
            <w:pPr>
              <w:pStyle w:val="null3"/>
            </w:pPr>
            <w:r>
              <w:rPr>
                <w:rFonts w:ascii="仿宋_GB2312" w:hAnsi="仿宋_GB2312" w:cs="仿宋_GB2312" w:eastAsia="仿宋_GB2312"/>
              </w:rPr>
              <w:t>一、评审内容： 投标人详细说明本项目施工材料投入计划和机械设备配备计划，内容包含但不限于：①施工材料投入计划，②机械设备配备计划，③施工材料及机械设备管理方案； 二、赋分标准： （1）完整性：方案内容完整全面，对上述各项内容均有描述及说明，得3.0分；缺1项，得2.0分；缺2项，得1分；缺3项，得0分； （2）针对性：针对性强，得4.0分；针对性一般，得2.0分；缺乏针对性，得1.0分。未按要求进行响应的，得0分； （3）可实施性：可实施性强，得3.0分；可实施性一般，得2.0分；缺乏可实施性，得1.0分。未按要求进行响应的，得0分； 二、评审标准： 1、针对性： （1）针对性强：方案能够完全切合本项目实际情况。（2）针对性一般：方案中多数内容能够切合本项目实际情况，但存在至少一处不适用本项目实际的内容。（3）缺乏针对性：方案描述不符合本项目实际情况，存在明显套用其他项目方案的内容。 2、可实施性： （1）可实施性强：方案工作流程完善，实施步骤清晰，科学合理，可操作性强。 （2）可实施性一般：方案中存在至少一处表述模糊、难以执行或不够科学合理的内容。 （3）缺乏可实施性：方案内容空洞，工作流程不完善，实施标准、实施质量不利于采购需求的实现，存在逻辑漏洞、常识错误或合理性差。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详细评审5-施工材料投入计划和机械设备配备计划.docx</w:t>
            </w:r>
          </w:p>
        </w:tc>
      </w:tr>
      <w:tr>
        <w:tc>
          <w:tcPr>
            <w:tcW w:type="dxa" w:w="831"/>
            <w:vMerge/>
          </w:tcPr>
          <w:p/>
        </w:tc>
        <w:tc>
          <w:tcPr>
            <w:tcW w:type="dxa" w:w="1661"/>
          </w:tcPr>
          <w:p>
            <w:pPr>
              <w:pStyle w:val="null3"/>
            </w:pPr>
            <w:r>
              <w:rPr>
                <w:rFonts w:ascii="仿宋_GB2312" w:hAnsi="仿宋_GB2312" w:cs="仿宋_GB2312" w:eastAsia="仿宋_GB2312"/>
              </w:rPr>
              <w:t>项目组成员及组织机构</w:t>
            </w:r>
          </w:p>
        </w:tc>
        <w:tc>
          <w:tcPr>
            <w:tcW w:type="dxa" w:w="2492"/>
          </w:tcPr>
          <w:p>
            <w:pPr>
              <w:pStyle w:val="null3"/>
            </w:pPr>
            <w:r>
              <w:rPr>
                <w:rFonts w:ascii="仿宋_GB2312" w:hAnsi="仿宋_GB2312" w:cs="仿宋_GB2312" w:eastAsia="仿宋_GB2312"/>
              </w:rPr>
              <w:t>一、评审内容： 投标人详细说明本项目经理部组成情况，内容包含但不限于：①项目成员配置清单及架构，②项目组配备人员的专业素质、人员结构，③项目成员的主要职责及工作内容 二、赋分标准： （1）完整性：方案内容完整全面，对上述各项内容均有描述及说明，得3.0分；缺1项，得2.0分；缺2项，得1分；缺3项，得0分； （2）针对性：针对性强，得4.0分；针对性一般，得2.0分；缺乏针对性，得1.0分。未按要求进行响应的，得0分； （3）可实施性：可实施性强，得3.0分；可实施性一般，得2.0分；缺乏可实施性，得1.0分。未按要求进行响应的，得0分； 二、评审标准： 1、针对性： （1）针对性强：方案能够完全切合本项目实际情况。（2）针对性一般：方案中多数内容能够切合本项目实际情况，但存在至少一处不适用本项目实际的内容。（3）缺乏针对性：方案描述不符合本项目实际情况，存在明显套用其他项目方案的内容。 2、可实施性： （1）可实施性强：方案工作流程完善，实施步骤清晰，科学合理，可操作性强。 （2）可实施性一般：方案中存在至少一处表述模糊、难以执行或不够科学合理的内容。 （3）缺乏可实施性：方案内容空洞，工作流程不完善，实施标准、实施质量不利于采购需求的实现，存在逻辑漏洞、常识错误或合理性差。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详细评审6-项目组成员及组织机构.docx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投标人提供2023年1月1日以来完成过类似项目合同，每提供一份得2.0分，最高得4.0分； 注：投标文件中提供合同复印件并加盖单位公章。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详细评审7-业绩.docx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投标人针对本项目采购需求及履约要求，自拟格式内容出具服务承诺，承诺内容至少需包含： ①售后服务承诺：供应商需承诺在工程质保期内的保修内容与范围、维修时间等。 ②应急措施承诺：供应商需承诺在项目实施过程中可能出现的天气、环境、防火、防盗等情况下应急管理措施承诺； ③管理承诺：供应商需承诺严格按照采购人工作管理制度要求进行施工作业。 投标人服务承诺内容满足要求得6.0 分；每缺1项，以6.0分为基础扣2.0分，扣完为止。 注：投标文件中自拟格式内容提供承诺（承诺内容需满足评分标准要求）并加盖单位公章。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详细评审8-服务承诺.docx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1、投标总报价大于预算价格（即招标最高限价），为无效投标报价，按废标处理。 2、分析总报价及各个分项报价是否合理，报价范围是否完整，有否重大错漏项，特别说明：如果某投标方的投标报价中有漏项，为无效投标报价，按废标处理。 3、价格得分计算方法：根据各投标人通过符合性、资格性审查的所有投标单位有效投标报价中最低投标人报价为基准价，计30分； 其他投标人的报价按下列公式计算： （基准价/投标报价）×30＝报价得分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详见附件：详细评审1-施工方案.docx</w:t>
      </w:r>
    </w:p>
    <w:p>
      <w:pPr>
        <w:pStyle w:val="null3"/>
        <w:ind w:firstLine="960"/>
      </w:pPr>
      <w:r>
        <w:rPr>
          <w:rFonts w:ascii="仿宋_GB2312" w:hAnsi="仿宋_GB2312" w:cs="仿宋_GB2312" w:eastAsia="仿宋_GB2312"/>
        </w:rPr>
        <w:t>详见附件：详细评审2-工程质量的保证措施.docx</w:t>
      </w:r>
    </w:p>
    <w:p>
      <w:pPr>
        <w:pStyle w:val="null3"/>
        <w:ind w:firstLine="960"/>
      </w:pPr>
      <w:r>
        <w:rPr>
          <w:rFonts w:ascii="仿宋_GB2312" w:hAnsi="仿宋_GB2312" w:cs="仿宋_GB2312" w:eastAsia="仿宋_GB2312"/>
        </w:rPr>
        <w:t>详见附件：详细评审3-工程进度的保证措施.docx</w:t>
      </w:r>
    </w:p>
    <w:p>
      <w:pPr>
        <w:pStyle w:val="null3"/>
        <w:ind w:firstLine="960"/>
      </w:pPr>
      <w:r>
        <w:rPr>
          <w:rFonts w:ascii="仿宋_GB2312" w:hAnsi="仿宋_GB2312" w:cs="仿宋_GB2312" w:eastAsia="仿宋_GB2312"/>
        </w:rPr>
        <w:t>详见附件：详细评审4-安全文明施工的保障措施.docx</w:t>
      </w:r>
    </w:p>
    <w:p>
      <w:pPr>
        <w:pStyle w:val="null3"/>
        <w:ind w:firstLine="960"/>
      </w:pPr>
      <w:r>
        <w:rPr>
          <w:rFonts w:ascii="仿宋_GB2312" w:hAnsi="仿宋_GB2312" w:cs="仿宋_GB2312" w:eastAsia="仿宋_GB2312"/>
        </w:rPr>
        <w:t>详见附件：详细评审5-施工材料投入计划和机械设备配备计划.docx</w:t>
      </w:r>
    </w:p>
    <w:p>
      <w:pPr>
        <w:pStyle w:val="null3"/>
        <w:ind w:firstLine="960"/>
      </w:pPr>
      <w:r>
        <w:rPr>
          <w:rFonts w:ascii="仿宋_GB2312" w:hAnsi="仿宋_GB2312" w:cs="仿宋_GB2312" w:eastAsia="仿宋_GB2312"/>
        </w:rPr>
        <w:t>详见附件：详细评审6-项目组成员及组织机构.docx</w:t>
      </w:r>
    </w:p>
    <w:p>
      <w:pPr>
        <w:pStyle w:val="null3"/>
        <w:ind w:firstLine="960"/>
      </w:pPr>
      <w:r>
        <w:rPr>
          <w:rFonts w:ascii="仿宋_GB2312" w:hAnsi="仿宋_GB2312" w:cs="仿宋_GB2312" w:eastAsia="仿宋_GB2312"/>
        </w:rPr>
        <w:t>详见附件：详细评审7-业绩.docx</w:t>
      </w:r>
    </w:p>
    <w:p>
      <w:pPr>
        <w:pStyle w:val="null3"/>
        <w:ind w:firstLine="960"/>
      </w:pPr>
      <w:r>
        <w:rPr>
          <w:rFonts w:ascii="仿宋_GB2312" w:hAnsi="仿宋_GB2312" w:cs="仿宋_GB2312" w:eastAsia="仿宋_GB2312"/>
        </w:rPr>
        <w:t>详见附件：详细评审8-服务承诺.docx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详见附件：参考合同.docx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