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版本号：SXDY-2026-20620260629001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大荔县2025年森林修复项目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SXDY-2026-206</w:t>
      </w:r>
      <w:r>
        <w:br/>
      </w:r>
      <w:r>
        <w:br/>
      </w:r>
      <w:r>
        <w:br/>
      </w:r>
    </w:p>
    <w:p>
      <w:pPr>
        <w:pStyle w:val="null3"/>
        <w:jc w:val="center"/>
        <w:outlineLvl w:val="2"/>
      </w:pPr>
      <w:r>
        <w:rPr>
          <w:rFonts w:ascii="仿宋_GB2312" w:hAnsi="仿宋_GB2312" w:cs="仿宋_GB2312" w:eastAsia="仿宋_GB2312"/>
          <w:sz w:val="28"/>
          <w:b/>
        </w:rPr>
        <w:t>大荔县林业局</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大荔县林业局</w:t>
      </w:r>
      <w:r>
        <w:rPr>
          <w:rFonts w:ascii="仿宋_GB2312" w:hAnsi="仿宋_GB2312" w:cs="仿宋_GB2312" w:eastAsia="仿宋_GB2312"/>
        </w:rPr>
        <w:t>委托，拟对</w:t>
      </w:r>
      <w:r>
        <w:rPr>
          <w:rFonts w:ascii="仿宋_GB2312" w:hAnsi="仿宋_GB2312" w:cs="仿宋_GB2312" w:eastAsia="仿宋_GB2312"/>
        </w:rPr>
        <w:t>大荔县2025年森林修复项目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SXDY-2026-206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大荔县2025年森林修复项目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大荔县境域实施6200亩森林修复，服务内容：修枝、割灌、林地清理、除草、剩余物清理等。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采购包1（大荔县 2025 年森林修复项目合同包1）：属于专门面向中小企业采购。</w:t>
      </w:r>
    </w:p>
    <w:p>
      <w:pPr>
        <w:pStyle w:val="null3"/>
      </w:pPr>
      <w:r>
        <w:rPr>
          <w:rFonts w:ascii="仿宋_GB2312" w:hAnsi="仿宋_GB2312" w:cs="仿宋_GB2312" w:eastAsia="仿宋_GB2312"/>
        </w:rPr>
        <w:t>采购包2（大荔县2025 年森林修复项目合同包2）：属于专门面向中小企业采购。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1、法定代表⼈授权书：法定代表人授权代表人参加的，须出具法定代表人授权书（附法定代表人、授权代表人身份证复印件），法定代表人参加需提供法人证明书及本人身份证复印件。</w:t>
      </w:r>
    </w:p>
    <w:p>
      <w:pPr>
        <w:pStyle w:val="null3"/>
      </w:pPr>
      <w:r>
        <w:rPr>
          <w:rFonts w:ascii="仿宋_GB2312" w:hAnsi="仿宋_GB2312" w:cs="仿宋_GB2312" w:eastAsia="仿宋_GB2312"/>
        </w:rPr>
        <w:t>2、供应商信誉要求：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处罚决定规定的时间和地域范围内）；</w:t>
      </w:r>
    </w:p>
    <w:p>
      <w:pPr>
        <w:pStyle w:val="null3"/>
      </w:pPr>
      <w:r>
        <w:rPr>
          <w:rFonts w:ascii="仿宋_GB2312" w:hAnsi="仿宋_GB2312" w:cs="仿宋_GB2312" w:eastAsia="仿宋_GB2312"/>
        </w:rPr>
        <w:t>3、专⻔⾯向中⼩企业：本项⽬为专⻔⾯向中⼩企业项⽬，供应商应为中型企业、⼩型企业或微型企业或监狱企业或残疾⼈福利性单位。供应商为中⼩企业的，提供《中⼩企业声明函》，监狱企业或残疾⼈福利性单位视同⼩微企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1、法定代表⼈授权书：法定代表人授权代表人参加的，须出具法定代表人授权书（附法定代表人、授权代表人身份证复印件），法定代表人参加需提供法人证明书及本人身份证复印件。</w:t>
      </w:r>
    </w:p>
    <w:p>
      <w:pPr>
        <w:pStyle w:val="null3"/>
      </w:pPr>
      <w:r>
        <w:rPr>
          <w:rFonts w:ascii="仿宋_GB2312" w:hAnsi="仿宋_GB2312" w:cs="仿宋_GB2312" w:eastAsia="仿宋_GB2312"/>
        </w:rPr>
        <w:t>2、供应商信誉要求：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处罚决定规定的时间和地域范围内）；</w:t>
      </w:r>
    </w:p>
    <w:p>
      <w:pPr>
        <w:pStyle w:val="null3"/>
      </w:pPr>
      <w:r>
        <w:rPr>
          <w:rFonts w:ascii="仿宋_GB2312" w:hAnsi="仿宋_GB2312" w:cs="仿宋_GB2312" w:eastAsia="仿宋_GB2312"/>
        </w:rPr>
        <w:t>3、专⻔⾯向中⼩企业：本项⽬为专⻔⾯向中⼩企业项⽬，供应商应为中型企业、⼩型企业或微型企业或监狱企业或残疾⼈福利性单位。供应商为中⼩企业的，提供《中⼩企业声明函》，监狱企业或残疾⼈福利性单位视同⼩微企业</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大荔县林业局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陕西省大荔县南关路2号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大荔县林业局经办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0913-3610744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西安市雁塔区西三爻村长丰园小I区1幢C单元11层1110室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18392826450/0913-3581777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采购包1：1,098,666.48元</w:t>
            </w:r>
          </w:p>
          <w:p>
            <w:pPr>
              <w:pStyle w:val="null3"/>
            </w:pPr>
            <w:r>
              <w:rPr>
                <w:rFonts w:ascii="仿宋_GB2312" w:hAnsi="仿宋_GB2312" w:cs="仿宋_GB2312" w:eastAsia="仿宋_GB2312"/>
              </w:rPr>
              <w:t>采购包2：1,188,742.17元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改委关于降低部分建设项目收费标准规范收费行为等有关问题的通知（发改价格[2011]534号）、《国家发展改革委办公厅关于招标代理服务收费有关问题的通知》（发改价格[2003]857号）文件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大荔县林业局</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大荔县林业局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大荔县林业局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按招标文件、投标文件及澄清函、项目检查情况等综合指标进行验收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按招标文件、投标文件及澄清函、项目检查情况等综合指标进行验收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联系人：吴静</w:t>
      </w:r>
    </w:p>
    <w:p>
      <w:pPr>
        <w:pStyle w:val="null3"/>
      </w:pPr>
      <w:r>
        <w:rPr>
          <w:rFonts w:ascii="仿宋_GB2312" w:hAnsi="仿宋_GB2312" w:cs="仿宋_GB2312" w:eastAsia="仿宋_GB2312"/>
        </w:rPr>
        <w:t>联系电话：18392826450</w:t>
      </w:r>
    </w:p>
    <w:p>
      <w:pPr>
        <w:pStyle w:val="null3"/>
      </w:pPr>
      <w:r>
        <w:rPr>
          <w:rFonts w:ascii="仿宋_GB2312" w:hAnsi="仿宋_GB2312" w:cs="仿宋_GB2312" w:eastAsia="仿宋_GB2312"/>
        </w:rPr>
        <w:t>地址：陕西省大荔县成瑞公租房南50米</w:t>
      </w:r>
    </w:p>
    <w:p>
      <w:pPr>
        <w:pStyle w:val="null3"/>
      </w:pPr>
      <w:r>
        <w:rPr>
          <w:rFonts w:ascii="仿宋_GB2312" w:hAnsi="仿宋_GB2312" w:cs="仿宋_GB2312" w:eastAsia="仿宋_GB2312"/>
        </w:rPr>
        <w:t>邮编：715100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大荔县境域实施6200亩森林修复，服务内容：修枝、割灌、林地清理、除草、剩余物清理等。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1,098,666.48</w:t>
      </w:r>
    </w:p>
    <w:p>
      <w:pPr>
        <w:pStyle w:val="null3"/>
      </w:pPr>
      <w:r>
        <w:rPr>
          <w:rFonts w:ascii="仿宋_GB2312" w:hAnsi="仿宋_GB2312" w:cs="仿宋_GB2312" w:eastAsia="仿宋_GB2312"/>
        </w:rPr>
        <w:t>采购包最高限价（元）: 1,098,666.48</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森林修复（朝邑镇、段家镇、官池镇、双泉镇、冯村镇、两宜镇、埝桥镇、西城街道、许庄镇、赵渡镇）3034.1亩，工程宣传牌2块</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1,098,666.48</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1,188,742.17</w:t>
      </w:r>
    </w:p>
    <w:p>
      <w:pPr>
        <w:pStyle w:val="null3"/>
      </w:pPr>
      <w:r>
        <w:rPr>
          <w:rFonts w:ascii="仿宋_GB2312" w:hAnsi="仿宋_GB2312" w:cs="仿宋_GB2312" w:eastAsia="仿宋_GB2312"/>
        </w:rPr>
        <w:t>采购包最高限价（元）: 1,188,742.17</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森林修复（羌白镇、苏村镇、韦林镇、下寨镇）3165.9亩，工程宣传牌2块，成效样地监测1项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1,188,742.17</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标的名称：森林修复（朝邑镇、段家镇、官池镇、双泉镇、冯村镇、两宜镇、埝桥镇、西城街道、许庄镇、赵渡镇）3034.1亩，工程宣传牌2块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服务内容：</w:t>
            </w:r>
          </w:p>
          <w:p>
            <w:pPr>
              <w:pStyle w:val="null3"/>
              <w:ind w:firstLine="548"/>
              <w:jc w:val="both"/>
            </w:pPr>
            <w:r>
              <w:rPr>
                <w:rFonts w:ascii="仿宋_GB2312" w:hAnsi="仿宋_GB2312" w:cs="仿宋_GB2312" w:eastAsia="仿宋_GB2312"/>
                <w:sz w:val="24"/>
              </w:rPr>
              <w:t>对朝邑镇、段家镇、官池镇、双泉镇、冯村镇、两宜镇、埝桥镇、西城街道、许庄镇、赵渡镇3034.10亩进行抚育，抚育方式确定为综 合抚育，作业方法确定为修枝+割灌+除草、修枝+除草。</w:t>
            </w:r>
          </w:p>
          <w:p>
            <w:pPr>
              <w:pStyle w:val="null3"/>
              <w:jc w:val="both"/>
            </w:pPr>
            <w:r>
              <w:rPr>
                <w:rFonts w:ascii="仿宋_GB2312" w:hAnsi="仿宋_GB2312" w:cs="仿宋_GB2312" w:eastAsia="仿宋_GB2312"/>
                <w:sz w:val="24"/>
              </w:rPr>
              <w:t>服务要求：</w:t>
            </w:r>
          </w:p>
          <w:p>
            <w:pPr>
              <w:pStyle w:val="null3"/>
              <w:ind w:firstLine="560"/>
              <w:jc w:val="both"/>
            </w:pPr>
            <w:r>
              <w:rPr>
                <w:rFonts w:ascii="仿宋_GB2312" w:hAnsi="仿宋_GB2312" w:cs="仿宋_GB2312" w:eastAsia="仿宋_GB2312"/>
                <w:sz w:val="24"/>
                <w:color w:val="000000"/>
              </w:rPr>
              <w:t>（1）修枝：采取修枝抚育后的林分应当达到以下要求：</w:t>
            </w:r>
          </w:p>
          <w:p>
            <w:pPr>
              <w:pStyle w:val="null3"/>
              <w:ind w:firstLine="560"/>
              <w:jc w:val="left"/>
            </w:pPr>
            <w:r>
              <w:rPr>
                <w:rFonts w:ascii="仿宋_GB2312" w:hAnsi="仿宋_GB2312" w:cs="仿宋_GB2312" w:eastAsia="仿宋_GB2312"/>
                <w:sz w:val="24"/>
                <w:color w:val="000000"/>
              </w:rPr>
              <w:t>①修去枯死枝和树冠下部 1—2 轮活枝；</w:t>
            </w:r>
          </w:p>
          <w:p>
            <w:pPr>
              <w:pStyle w:val="null3"/>
              <w:ind w:firstLine="560"/>
              <w:jc w:val="left"/>
            </w:pPr>
            <w:r>
              <w:rPr>
                <w:rFonts w:ascii="仿宋_GB2312" w:hAnsi="仿宋_GB2312" w:cs="仿宋_GB2312" w:eastAsia="仿宋_GB2312"/>
                <w:sz w:val="24"/>
                <w:color w:val="000000"/>
              </w:rPr>
              <w:t>②幼龄林阶段修枝后保留冠长不低于树高的 2/3、枝桩尽量修平，剪口不能伤害树干的韧皮部和木质部；</w:t>
            </w:r>
          </w:p>
          <w:p>
            <w:pPr>
              <w:pStyle w:val="null3"/>
              <w:ind w:firstLine="560"/>
              <w:jc w:val="left"/>
            </w:pPr>
            <w:r>
              <w:rPr>
                <w:rFonts w:ascii="仿宋_GB2312" w:hAnsi="仿宋_GB2312" w:cs="仿宋_GB2312" w:eastAsia="仿宋_GB2312"/>
                <w:sz w:val="24"/>
                <w:color w:val="000000"/>
              </w:rPr>
              <w:t>③中龄林阶段修枝后保留冠长不低于树高的 1/2、枝桩尽量修平，剪口不能伤害树干的韧皮部和木质部。</w:t>
            </w:r>
          </w:p>
          <w:p>
            <w:pPr>
              <w:pStyle w:val="null3"/>
              <w:ind w:firstLine="560"/>
              <w:jc w:val="left"/>
            </w:pPr>
            <w:r>
              <w:rPr>
                <w:rFonts w:ascii="仿宋_GB2312" w:hAnsi="仿宋_GB2312" w:cs="仿宋_GB2312" w:eastAsia="仿宋_GB2312"/>
                <w:sz w:val="24"/>
                <w:color w:val="000000"/>
              </w:rPr>
              <w:t>（2）割灌：割除缠绕保留木的藤本植物、目的树种幼苗幼树周围 1～1.5m 范围内影响其生长的杂灌，进行局部割灌，避免全面割灌，藤本植物需全部清除。</w:t>
            </w:r>
          </w:p>
          <w:p>
            <w:pPr>
              <w:pStyle w:val="null3"/>
              <w:ind w:firstLine="560"/>
              <w:jc w:val="left"/>
            </w:pPr>
            <w:r>
              <w:rPr>
                <w:rFonts w:ascii="仿宋_GB2312" w:hAnsi="仿宋_GB2312" w:cs="仿宋_GB2312" w:eastAsia="仿宋_GB2312"/>
                <w:sz w:val="24"/>
                <w:color w:val="000000"/>
              </w:rPr>
              <w:t>（3）林地清理：局部清理林内灌木藤本、病害木、虫害木、濒死木、枯立和枯死木及 5cm 以下的有害木。</w:t>
            </w:r>
          </w:p>
          <w:p>
            <w:pPr>
              <w:pStyle w:val="null3"/>
              <w:ind w:firstLine="560"/>
              <w:jc w:val="left"/>
            </w:pPr>
            <w:r>
              <w:rPr>
                <w:rFonts w:ascii="仿宋_GB2312" w:hAnsi="仿宋_GB2312" w:cs="仿宋_GB2312" w:eastAsia="仿宋_GB2312"/>
                <w:sz w:val="24"/>
                <w:color w:val="000000"/>
              </w:rPr>
              <w:t>（4）除草：针对灌草覆盖过密，光照不足的林地进行抚育。清除周围 2m 范围内的杂灌杂草，技术实施需遵循“干扰最小化”原则，维持原有生态过程完整性。</w:t>
            </w:r>
          </w:p>
          <w:p>
            <w:pPr>
              <w:pStyle w:val="null3"/>
              <w:ind w:firstLine="560"/>
              <w:jc w:val="left"/>
            </w:pPr>
            <w:r>
              <w:rPr>
                <w:rFonts w:ascii="仿宋_GB2312" w:hAnsi="仿宋_GB2312" w:cs="仿宋_GB2312" w:eastAsia="仿宋_GB2312"/>
                <w:sz w:val="24"/>
                <w:color w:val="000000"/>
              </w:rPr>
              <w:t>（5）剩余物清理 ：</w:t>
            </w:r>
          </w:p>
          <w:p>
            <w:pPr>
              <w:pStyle w:val="null3"/>
              <w:ind w:firstLine="560"/>
              <w:jc w:val="left"/>
            </w:pPr>
            <w:r>
              <w:rPr>
                <w:rFonts w:ascii="仿宋_GB2312" w:hAnsi="仿宋_GB2312" w:cs="仿宋_GB2312" w:eastAsia="仿宋_GB2312"/>
                <w:sz w:val="24"/>
                <w:color w:val="000000"/>
              </w:rPr>
              <w:t>①尽量将有利用价值的抚育剩余物运出林外加以利用。</w:t>
            </w:r>
          </w:p>
          <w:p>
            <w:pPr>
              <w:pStyle w:val="null3"/>
              <w:ind w:firstLine="560"/>
              <w:jc w:val="left"/>
            </w:pPr>
            <w:r>
              <w:rPr>
                <w:rFonts w:ascii="仿宋_GB2312" w:hAnsi="仿宋_GB2312" w:cs="仿宋_GB2312" w:eastAsia="仿宋_GB2312"/>
                <w:sz w:val="24"/>
                <w:color w:val="000000"/>
              </w:rPr>
              <w:t>②不能利用的枝桠、灌木适当截短，就地散铺，任其自然分解以增加林地肥力。散铺时适当压实以利于剩余物与地面接触，加快分解速度，同时注意不得伤害目的幼苗、幼树。</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4"/>
              </w:rPr>
              <w:t>服务内容：</w:t>
            </w:r>
          </w:p>
          <w:p>
            <w:pPr>
              <w:pStyle w:val="null3"/>
              <w:ind w:firstLine="560"/>
              <w:jc w:val="left"/>
            </w:pPr>
            <w:r>
              <w:rPr>
                <w:rFonts w:ascii="仿宋_GB2312" w:hAnsi="仿宋_GB2312" w:cs="仿宋_GB2312" w:eastAsia="仿宋_GB2312"/>
                <w:sz w:val="24"/>
                <w:color w:val="000000"/>
              </w:rPr>
              <w:t>宣传标识 ：2块</w:t>
            </w:r>
          </w:p>
          <w:p>
            <w:pPr>
              <w:pStyle w:val="null3"/>
              <w:jc w:val="both"/>
            </w:pPr>
            <w:r>
              <w:rPr>
                <w:rFonts w:ascii="仿宋_GB2312" w:hAnsi="仿宋_GB2312" w:cs="仿宋_GB2312" w:eastAsia="仿宋_GB2312"/>
                <w:sz w:val="24"/>
              </w:rPr>
              <w:t>服务要求：</w:t>
            </w:r>
          </w:p>
          <w:p>
            <w:pPr>
              <w:pStyle w:val="null3"/>
              <w:ind w:firstLine="548"/>
              <w:jc w:val="both"/>
            </w:pPr>
            <w:r>
              <w:rPr>
                <w:rFonts w:ascii="仿宋_GB2312" w:hAnsi="仿宋_GB2312" w:cs="仿宋_GB2312" w:eastAsia="仿宋_GB2312"/>
                <w:sz w:val="24"/>
              </w:rPr>
              <w:t>宣传牌（羌白镇、韦林镇）采用钢架结构建设，宣传牌牌面2mm 不锈钢板，规格为2.0m×3.0m，热镀锌钢架+5 年膜反光印刷。宣传牌上应标明建设项目名称、建设范围、建设面积、抚育方式、抚育方法、建设期限、主管单位、实施单位、项目负责、设计单位等内容。</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标的名称：森林修复（羌白镇、苏村镇、韦林镇、下寨镇）3165.9亩，工程宣传牌2块，成效样地监测1项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服务内容：</w:t>
            </w:r>
          </w:p>
          <w:p>
            <w:pPr>
              <w:pStyle w:val="null3"/>
              <w:ind w:firstLine="548"/>
              <w:jc w:val="both"/>
            </w:pPr>
            <w:r>
              <w:rPr>
                <w:rFonts w:ascii="仿宋_GB2312" w:hAnsi="仿宋_GB2312" w:cs="仿宋_GB2312" w:eastAsia="仿宋_GB2312"/>
                <w:sz w:val="24"/>
              </w:rPr>
              <w:t>对羌白镇、苏村镇、韦林镇、下寨镇3165.90亩进行抚育，</w:t>
            </w:r>
            <w:r>
              <w:rPr>
                <w:rFonts w:ascii="仿宋_GB2312" w:hAnsi="仿宋_GB2312" w:cs="仿宋_GB2312" w:eastAsia="仿宋_GB2312"/>
                <w:sz w:val="24"/>
                <w:color w:val="000000"/>
              </w:rPr>
              <w:t>抚育方式确定为综 合抚育，作业方法确定为修枝</w:t>
            </w:r>
            <w:r>
              <w:rPr>
                <w:rFonts w:ascii="仿宋_GB2312" w:hAnsi="仿宋_GB2312" w:cs="仿宋_GB2312" w:eastAsia="仿宋_GB2312"/>
                <w:sz w:val="24"/>
                <w:color w:val="000000"/>
              </w:rPr>
              <w:t>+</w:t>
            </w:r>
            <w:r>
              <w:rPr>
                <w:rFonts w:ascii="仿宋_GB2312" w:hAnsi="仿宋_GB2312" w:cs="仿宋_GB2312" w:eastAsia="仿宋_GB2312"/>
                <w:sz w:val="24"/>
                <w:color w:val="000000"/>
              </w:rPr>
              <w:t>割灌</w:t>
            </w:r>
            <w:r>
              <w:rPr>
                <w:rFonts w:ascii="仿宋_GB2312" w:hAnsi="仿宋_GB2312" w:cs="仿宋_GB2312" w:eastAsia="仿宋_GB2312"/>
                <w:sz w:val="24"/>
                <w:color w:val="000000"/>
              </w:rPr>
              <w:t>+</w:t>
            </w:r>
            <w:r>
              <w:rPr>
                <w:rFonts w:ascii="仿宋_GB2312" w:hAnsi="仿宋_GB2312" w:cs="仿宋_GB2312" w:eastAsia="仿宋_GB2312"/>
                <w:sz w:val="24"/>
                <w:color w:val="000000"/>
              </w:rPr>
              <w:t>除草、修枝</w:t>
            </w:r>
            <w:r>
              <w:rPr>
                <w:rFonts w:ascii="仿宋_GB2312" w:hAnsi="仿宋_GB2312" w:cs="仿宋_GB2312" w:eastAsia="仿宋_GB2312"/>
                <w:sz w:val="24"/>
                <w:color w:val="000000"/>
              </w:rPr>
              <w:t>+</w:t>
            </w:r>
            <w:r>
              <w:rPr>
                <w:rFonts w:ascii="仿宋_GB2312" w:hAnsi="仿宋_GB2312" w:cs="仿宋_GB2312" w:eastAsia="仿宋_GB2312"/>
                <w:sz w:val="24"/>
                <w:color w:val="000000"/>
              </w:rPr>
              <w:t>除草</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rPr>
              <w:t>服务要求：</w:t>
            </w:r>
          </w:p>
          <w:p>
            <w:pPr>
              <w:pStyle w:val="null3"/>
              <w:ind w:firstLine="560"/>
              <w:jc w:val="both"/>
            </w:pPr>
            <w:r>
              <w:rPr>
                <w:rFonts w:ascii="仿宋_GB2312" w:hAnsi="仿宋_GB2312" w:cs="仿宋_GB2312" w:eastAsia="仿宋_GB2312"/>
                <w:sz w:val="24"/>
                <w:color w:val="000000"/>
              </w:rPr>
              <w:t>（1）修枝：采取修枝抚育后的林分应当达到以下要求：</w:t>
            </w:r>
          </w:p>
          <w:p>
            <w:pPr>
              <w:pStyle w:val="null3"/>
              <w:ind w:firstLine="560"/>
              <w:jc w:val="left"/>
            </w:pPr>
            <w:r>
              <w:rPr>
                <w:rFonts w:ascii="仿宋_GB2312" w:hAnsi="仿宋_GB2312" w:cs="仿宋_GB2312" w:eastAsia="仿宋_GB2312"/>
                <w:sz w:val="24"/>
                <w:color w:val="000000"/>
              </w:rPr>
              <w:t>①修去枯死枝和树冠下部 1—2 轮活枝；</w:t>
            </w:r>
          </w:p>
          <w:p>
            <w:pPr>
              <w:pStyle w:val="null3"/>
              <w:ind w:firstLine="560"/>
              <w:jc w:val="left"/>
            </w:pPr>
            <w:r>
              <w:rPr>
                <w:rFonts w:ascii="仿宋_GB2312" w:hAnsi="仿宋_GB2312" w:cs="仿宋_GB2312" w:eastAsia="仿宋_GB2312"/>
                <w:sz w:val="24"/>
                <w:color w:val="000000"/>
              </w:rPr>
              <w:t>②幼龄林阶段修枝后保留冠长不低于树高的 2/3、枝桩尽量修平，剪口不能伤害树干的韧皮部和木质部；</w:t>
            </w:r>
          </w:p>
          <w:p>
            <w:pPr>
              <w:pStyle w:val="null3"/>
              <w:ind w:firstLine="560"/>
              <w:jc w:val="left"/>
            </w:pPr>
            <w:r>
              <w:rPr>
                <w:rFonts w:ascii="仿宋_GB2312" w:hAnsi="仿宋_GB2312" w:cs="仿宋_GB2312" w:eastAsia="仿宋_GB2312"/>
                <w:sz w:val="24"/>
                <w:color w:val="000000"/>
              </w:rPr>
              <w:t>③中龄林阶段修枝后保留冠长不低于树高的 1/2、枝桩尽量修平，剪口不能伤害树干的韧皮部和木质部。</w:t>
            </w:r>
          </w:p>
          <w:p>
            <w:pPr>
              <w:pStyle w:val="null3"/>
              <w:ind w:firstLine="560"/>
              <w:jc w:val="left"/>
            </w:pPr>
            <w:r>
              <w:rPr>
                <w:rFonts w:ascii="仿宋_GB2312" w:hAnsi="仿宋_GB2312" w:cs="仿宋_GB2312" w:eastAsia="仿宋_GB2312"/>
                <w:sz w:val="24"/>
                <w:color w:val="000000"/>
              </w:rPr>
              <w:t>（2）割灌：割除缠绕保留木的藤本植物、目的树种幼苗幼树周围 1～1.5m 范围内影响其生长的杂灌，进行局部割灌，避免全面割灌，藤本植物需全部清除。</w:t>
            </w:r>
          </w:p>
          <w:p>
            <w:pPr>
              <w:pStyle w:val="null3"/>
              <w:ind w:firstLine="560"/>
              <w:jc w:val="left"/>
            </w:pPr>
            <w:r>
              <w:rPr>
                <w:rFonts w:ascii="仿宋_GB2312" w:hAnsi="仿宋_GB2312" w:cs="仿宋_GB2312" w:eastAsia="仿宋_GB2312"/>
                <w:sz w:val="24"/>
                <w:color w:val="000000"/>
              </w:rPr>
              <w:t>（3）林地清理：局部清理林内灌木藤本、病害木、虫害木、濒死木、枯立和枯死木及 5cm 以下的有害木。</w:t>
            </w:r>
          </w:p>
          <w:p>
            <w:pPr>
              <w:pStyle w:val="null3"/>
              <w:ind w:firstLine="560"/>
              <w:jc w:val="left"/>
            </w:pPr>
            <w:r>
              <w:rPr>
                <w:rFonts w:ascii="仿宋_GB2312" w:hAnsi="仿宋_GB2312" w:cs="仿宋_GB2312" w:eastAsia="仿宋_GB2312"/>
                <w:sz w:val="24"/>
                <w:color w:val="000000"/>
              </w:rPr>
              <w:t>（4）除草：针对灌草覆盖过密，光照不足的林地进行抚育。清除周围 2m 范围内的杂灌杂草，技术实施需遵循“干扰最小化”原则，维持原有生态过程完整性。</w:t>
            </w:r>
          </w:p>
          <w:p>
            <w:pPr>
              <w:pStyle w:val="null3"/>
              <w:ind w:firstLine="560"/>
              <w:jc w:val="left"/>
            </w:pPr>
            <w:r>
              <w:rPr>
                <w:rFonts w:ascii="仿宋_GB2312" w:hAnsi="仿宋_GB2312" w:cs="仿宋_GB2312" w:eastAsia="仿宋_GB2312"/>
                <w:sz w:val="24"/>
                <w:color w:val="000000"/>
              </w:rPr>
              <w:t>（5）剩余物清理 ：</w:t>
            </w:r>
          </w:p>
          <w:p>
            <w:pPr>
              <w:pStyle w:val="null3"/>
              <w:ind w:firstLine="560"/>
              <w:jc w:val="left"/>
            </w:pPr>
            <w:r>
              <w:rPr>
                <w:rFonts w:ascii="仿宋_GB2312" w:hAnsi="仿宋_GB2312" w:cs="仿宋_GB2312" w:eastAsia="仿宋_GB2312"/>
                <w:sz w:val="24"/>
                <w:color w:val="000000"/>
              </w:rPr>
              <w:t>①尽量将有利用价值的抚育剩余物运出林外加以利用。</w:t>
            </w:r>
          </w:p>
          <w:p>
            <w:pPr>
              <w:pStyle w:val="null3"/>
            </w:pPr>
            <w:r>
              <w:rPr>
                <w:rFonts w:ascii="仿宋_GB2312" w:hAnsi="仿宋_GB2312" w:cs="仿宋_GB2312" w:eastAsia="仿宋_GB2312"/>
                <w:sz w:val="24"/>
                <w:color w:val="000000"/>
              </w:rPr>
              <w:t>②不能利用的枝桠、灌木适当截短，就地散铺，任其自然分解以增加林地肥力。散铺时适当压实以利于剩余物与地面接触，加快分解速度，同时注意不得伤害目的幼苗、幼树。</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4"/>
              </w:rPr>
              <w:t>服务内容：</w:t>
            </w:r>
          </w:p>
          <w:p>
            <w:pPr>
              <w:pStyle w:val="null3"/>
              <w:ind w:firstLine="560"/>
              <w:jc w:val="left"/>
            </w:pPr>
            <w:r>
              <w:rPr>
                <w:rFonts w:ascii="仿宋_GB2312" w:hAnsi="仿宋_GB2312" w:cs="仿宋_GB2312" w:eastAsia="仿宋_GB2312"/>
                <w:sz w:val="24"/>
                <w:color w:val="000000"/>
              </w:rPr>
              <w:t>宣传标识 ：2块</w:t>
            </w:r>
          </w:p>
          <w:p>
            <w:pPr>
              <w:pStyle w:val="null3"/>
              <w:jc w:val="both"/>
            </w:pPr>
            <w:r>
              <w:rPr>
                <w:rFonts w:ascii="仿宋_GB2312" w:hAnsi="仿宋_GB2312" w:cs="仿宋_GB2312" w:eastAsia="仿宋_GB2312"/>
                <w:sz w:val="24"/>
              </w:rPr>
              <w:t>服务要求：</w:t>
            </w:r>
          </w:p>
          <w:p>
            <w:pPr>
              <w:pStyle w:val="null3"/>
              <w:ind w:firstLine="548"/>
              <w:jc w:val="both"/>
            </w:pPr>
            <w:r>
              <w:rPr>
                <w:rFonts w:ascii="仿宋_GB2312" w:hAnsi="仿宋_GB2312" w:cs="仿宋_GB2312" w:eastAsia="仿宋_GB2312"/>
                <w:sz w:val="24"/>
              </w:rPr>
              <w:t>宣传牌（羌白镇、韦林镇）采用钢架结构建设，宣传牌牌面2mm 不锈钢板，规格为2.0m×3.0m，热镀锌钢架+5 年膜反光印刷。宣传牌上应标明建设项目名称、建设范围、建设面积、抚育方式、抚育方法、建设期限、主管单位、实施单位、项目负责、设计单位等内容。</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rPr>
              <w:t>服务内容：</w:t>
            </w:r>
          </w:p>
          <w:p>
            <w:pPr>
              <w:pStyle w:val="null3"/>
              <w:jc w:val="both"/>
            </w:pPr>
            <w:r>
              <w:rPr>
                <w:rFonts w:ascii="仿宋_GB2312" w:hAnsi="仿宋_GB2312" w:cs="仿宋_GB2312" w:eastAsia="仿宋_GB2312"/>
                <w:sz w:val="24"/>
              </w:rPr>
              <w:t>成效样地监：1组</w:t>
            </w:r>
          </w:p>
          <w:p>
            <w:pPr>
              <w:pStyle w:val="null3"/>
              <w:jc w:val="both"/>
            </w:pPr>
            <w:r>
              <w:rPr>
                <w:rFonts w:ascii="仿宋_GB2312" w:hAnsi="仿宋_GB2312" w:cs="仿宋_GB2312" w:eastAsia="仿宋_GB2312"/>
                <w:sz w:val="24"/>
              </w:rPr>
              <w:t>服务要求：</w:t>
            </w:r>
          </w:p>
          <w:p>
            <w:pPr>
              <w:pStyle w:val="null3"/>
              <w:numPr>
                <w:ilvl w:val="0"/>
                <w:numId w:val="1"/>
              </w:numPr>
              <w:jc w:val="both"/>
            </w:pPr>
            <w:r>
              <w:rPr>
                <w:rFonts w:ascii="仿宋_GB2312" w:hAnsi="仿宋_GB2312" w:cs="仿宋_GB2312" w:eastAsia="仿宋_GB2312"/>
                <w:sz w:val="24"/>
              </w:rPr>
              <w:t>为了监测森林抚育后森林生产效能、生态服务功能的变化以及森林抚育后的实际效果，以便总结经验， 并为今后森林抚育提供科学依据，在抚育区布设森林抚育成效监测固定标准地。标准地面积样地面积 1亩，四角用 15×15×60 厘米水泥桩（或在固定石块打上记号）进行标示。分别树种、径阶进行每木检尺，记录幼苗、 幼树株数及林下植被情况，做好基础资料并归档管理。</w:t>
            </w:r>
          </w:p>
          <w:p>
            <w:pPr>
              <w:pStyle w:val="null3"/>
              <w:ind w:firstLine="550"/>
              <w:jc w:val="both"/>
            </w:pPr>
            <w:r>
              <w:rPr>
                <w:rFonts w:ascii="仿宋_GB2312" w:hAnsi="仿宋_GB2312" w:cs="仿宋_GB2312" w:eastAsia="仿宋_GB2312"/>
                <w:sz w:val="24"/>
              </w:rPr>
              <w:t>2.监测内容：（1）林分因子：郁闭度、平均胸径、平均高、蓄积量、森林更新幼树幼苗等；（2）森林健康因子：森林病虫害、生长势、森林稳定性、森林抗逆性等；（3）森林生态功能：生物多样性变化、水土保持、水源涵养等。</w:t>
            </w:r>
          </w:p>
          <w:p>
            <w:pPr>
              <w:pStyle w:val="null3"/>
              <w:ind w:firstLine="550"/>
              <w:jc w:val="both"/>
            </w:pPr>
            <w:r>
              <w:rPr>
                <w:rFonts w:ascii="仿宋_GB2312" w:hAnsi="仿宋_GB2312" w:cs="仿宋_GB2312" w:eastAsia="仿宋_GB2312"/>
                <w:sz w:val="24"/>
              </w:rPr>
              <w:t>3.监测方法 ：（1）森林资源指标：采用常规方法监测；（2）监测期5年，监测频度1年1次。</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根据项目需求配置相应人员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根据项目需求配置相应人员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根据项目需求配置相应设施设备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根据项目需求配置相应设施设备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180天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180天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朝邑镇、段家镇、官池镇、双泉镇、冯村镇、两宜镇、埝桥镇、西城街道、许庄镇、赵渡镇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大荔县羌白镇、苏村镇、韦林镇、下寨镇</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1、验收原则：遵循“客观公正、聚焦重点、高效务实”原则，确保工程质量符合设计要求及行业基本标准。 2、验收范围：大荔县林业局 2025 年森林修复项目的核心建设内容。 3、验收组织：由林业局成立验收小组，负责验收事宜，验收小组由熟悉项目需求人员（2人）、财务人员（1人）等组成，人数为3人以上单数。职责分工：采购人代表负责组织协调；中标单位配合验收。 4、验收条件：按招标文件、投标文件及澄清函、项目检查情况等综合指标进行验收 5、验收流程 （1）供应商全面完成项目建设任务后单位要及时组织自查，并向采购人提交自查报告，采购人对自查报告进行审核，审核内容包括：作业设计执行、任务完成情况、作业质量、资金使用情况及项目成效、存在问题与建议等 （2）结论与整改 资料齐全、现场质量达标，判定为“合格”，出具验收合格意见；存在轻微问题的，限期整改后复核；未完成建设内容或质量严重不达标，判定为“不合格”，整改后重新申请验收。 6、验收成果 验收完成后5个工作日内，出具验收报告，明确验收结论及后续要求，由参与单位签字存档。采购人在采购项目履约验收完成后7个工作日内完成信息整理，并在陕西省政府采购网进行公示。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1、验收原则：遵循“客观公正、聚焦重点、高效务实”原则，确保工程质量符合设计要求及行业基本标准。 2、验收范围：大荔县林业局 2025 年森林修复项目的核心建设内容。 3、验收组织：由林业局成立验收小组，负责验收事宜，验收小组由熟悉项目需求人员（2人）、财务人员（1人）等组成，人数为3人以上单数。职责分工：采购人代表负责组织协调；中标单位配合验收。 4、验收条件：按招标文件、投标文件及澄清函、项目检查情况等综合指标进行验收 5、验收流程 （1）供应商全面完成项目建设任务后单位要及时组织自查，并向采购人提交自查报告，采购人对自查报告进行审核，审核内容包括：作业设计执行、任务完成情况、作业质量、资金使用情况及项目成效、存在问题与建议等 （2）结论与整改 资料齐全、现场质量达标，判定为“合格”，出具验收合格意见；存在轻微问题的，限期整改后复核；未完成建设内容或质量严重不达标，判定为“不合格”，整改后重新申请验收。 6、验收成果 验收完成后5个工作日内，出具验收报告，明确验收结论及后续要求，由参与单位签字存档。采购人在采购项目履约验收完成后7个工作日内完成信息整理，并在陕西省政府采购网进行公示。</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预付款，预付合同款，达到付款条件起10个工作日内，支付合同总金额的40.0%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进度款，完成所有服务内容，达到付款条件起10个工作日内，支付合同总金额的40.0%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进度款，验收合格后，达到付款条件起10个工作日内，支付合同总金额的20.0%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预付款，预付合同款，达到付款条件起10个工作日内，支付合同总金额的40.0%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进度款，完成所有服务内容，达到付款条件起10个工作日内，支付合同总金额的40.0%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进度款，验收合格后，达到付款条件起10个工作日内，支付合同总金额的20.0%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中华人民共和国政府采购法实施条例》的相关条款和本合同约定，成交供应商未全面履行合同义务或者发生违约，采购单位会同采购代理机构有权终止合同，依法向成交供应商进行经济索赔，并报请政府采购监督管理机关进行相应的行政处罚。合同执行中发生争议的，当事人双方应协商解决，协商达不成一致时，可向采购人所在地人民法院提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据《中华⼈⺠共和国⺠法典》、《中华⼈⺠共和国政府采购法》、《中华⼈⺠共和国政府采购法实施条例》的相关条款和本合同约定，成交供应商未全⾯履⾏合同义务或者发⽣违约，采购单位会同采购代理机构有权终⽌合同，依法向成交供应商进⾏经济索赔，并报请政府采购监督管理机关进⾏相应的⾏政处罚。合同执⾏中发⽣争议的，当事⼈双⽅应协商解决，协商达不成⼀致时，可向采购⼈所在地⼈⺠法院提请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兼投不兼中总规则：本项目分2个采购包，投标人可对多个标段投标，但最多只能中标1个采购包（兼投不兼中）。（2）评标顺序与中标规则：评标委员会按采购包1→采购包2的顺序依次评审。若某投标人在前序标段已被确定为第一中标候选人，则该投标人在后续标段评审中仍参与打分、计入有效投标人数量，自动失去后续标段中标资格。（3）中标候选人推荐规则：每个标段推荐3名中标候选人，按综合得分从高到低排序。已在前序标段中标的投标人，后续标段排名自动顺延至下一位有效投标人。（4）废标/无效情形提示：有效投标人数量按未被排除的所有合格投标人计算，不因“兼投不兼中”导致的顺延而认定为不足三家。2、该项目"采购包1采购包2”对应的中小企业划分标准所属行业为"农、林、牧、渔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供应商需在项⽬电⼦化交易系统中按要求填写《响应函》完成承诺并进⾏电⼦签章。供应商需在项⽬电⼦化交易系统中按要求填写《投标函》完成承诺并进⾏电⼦签章。</w:t>
            </w:r>
          </w:p>
        </w:tc>
        <w:tc>
          <w:tcPr>
            <w:tcW w:type="dxa" w:w="1661"/>
          </w:tcPr>
          <w:p>
            <w:pPr>
              <w:pStyle w:val="null3"/>
            </w:pPr>
            <w:r>
              <w:rPr>
                <w:rFonts w:ascii="仿宋_GB2312" w:hAnsi="仿宋_GB2312" w:cs="仿宋_GB2312" w:eastAsia="仿宋_GB2312"/>
              </w:rPr>
              <w:t>投标函 资格证明材料包1.docx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供应商需在项⽬电⼦化交易系统中按要求填写《响应函》完成承诺并进⾏电⼦签章。供应商需在项⽬电⼦化交易系统中按要求填写《投标函》完成承诺并进⾏电⼦签章。</w:t>
            </w:r>
          </w:p>
        </w:tc>
        <w:tc>
          <w:tcPr>
            <w:tcW w:type="dxa" w:w="1661"/>
          </w:tcPr>
          <w:p>
            <w:pPr>
              <w:pStyle w:val="null3"/>
            </w:pPr>
            <w:r>
              <w:rPr>
                <w:rFonts w:ascii="仿宋_GB2312" w:hAnsi="仿宋_GB2312" w:cs="仿宋_GB2312" w:eastAsia="仿宋_GB2312"/>
              </w:rPr>
              <w:t>资格证明材料包2.docx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法定代表人授权代表人参加的，须出具法定代表人授权书（附法定代表人、授权代表人身份证复印件），法定代表人参加需提供法人证明书及本人身份证复印件。</w:t>
            </w:r>
          </w:p>
        </w:tc>
        <w:tc>
          <w:tcPr>
            <w:tcW w:type="dxa" w:w="1661"/>
          </w:tcPr>
          <w:p>
            <w:pPr>
              <w:pStyle w:val="null3"/>
            </w:pPr>
            <w:r>
              <w:rPr>
                <w:rFonts w:ascii="仿宋_GB2312" w:hAnsi="仿宋_GB2312" w:cs="仿宋_GB2312" w:eastAsia="仿宋_GB2312"/>
              </w:rPr>
              <w:t>资格证明材料包1.docx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处罚决定规定的时间和地域范围内）；</w:t>
            </w:r>
          </w:p>
        </w:tc>
        <w:tc>
          <w:tcPr>
            <w:tcW w:type="dxa" w:w="1661"/>
          </w:tcPr>
          <w:p>
            <w:pPr>
              <w:pStyle w:val="null3"/>
            </w:pPr>
            <w:r>
              <w:rPr>
                <w:rFonts w:ascii="仿宋_GB2312" w:hAnsi="仿宋_GB2312" w:cs="仿宋_GB2312" w:eastAsia="仿宋_GB2312"/>
              </w:rPr>
              <w:t>资格证明材料包1.docx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专⻔⾯向中⼩企业</w:t>
            </w:r>
          </w:p>
        </w:tc>
        <w:tc>
          <w:tcPr>
            <w:tcW w:type="dxa" w:w="3322"/>
          </w:tcPr>
          <w:p>
            <w:pPr>
              <w:pStyle w:val="null3"/>
            </w:pPr>
            <w:r>
              <w:rPr>
                <w:rFonts w:ascii="仿宋_GB2312" w:hAnsi="仿宋_GB2312" w:cs="仿宋_GB2312" w:eastAsia="仿宋_GB2312"/>
              </w:rPr>
              <w:t>本项⽬为专⻔⾯向中⼩企业项⽬，供应商应为中型企业、⼩型企业或微型企业或监狱企业或残疾⼈福利性单位。供应商为中⼩企业的，提供《中⼩企业声明函》，监狱企业或残疾⼈福利性单位视同⼩微企业</w:t>
            </w:r>
          </w:p>
        </w:tc>
        <w:tc>
          <w:tcPr>
            <w:tcW w:type="dxa" w:w="1661"/>
          </w:tcPr>
          <w:p>
            <w:pPr>
              <w:pStyle w:val="null3"/>
            </w:pPr>
            <w:r>
              <w:rPr>
                <w:rFonts w:ascii="仿宋_GB2312" w:hAnsi="仿宋_GB2312" w:cs="仿宋_GB2312" w:eastAsia="仿宋_GB2312"/>
              </w:rPr>
              <w:t>中小企业声明函 残疾人福利性单位声明函 资格证明材料包1.docx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法定代表人授权代表人参加的，须出具法定代表人授权书（附法定代表人、授权代表人身份证复印件），法定代表人参加需提供法人证明书及本人身份证复印件。</w:t>
            </w:r>
          </w:p>
        </w:tc>
        <w:tc>
          <w:tcPr>
            <w:tcW w:type="dxa" w:w="1661"/>
          </w:tcPr>
          <w:p>
            <w:pPr>
              <w:pStyle w:val="null3"/>
            </w:pPr>
            <w:r>
              <w:rPr>
                <w:rFonts w:ascii="仿宋_GB2312" w:hAnsi="仿宋_GB2312" w:cs="仿宋_GB2312" w:eastAsia="仿宋_GB2312"/>
              </w:rPr>
              <w:t>资格证明材料包2.docx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处罚决定规定的时间和地域范围内）；</w:t>
            </w:r>
          </w:p>
        </w:tc>
        <w:tc>
          <w:tcPr>
            <w:tcW w:type="dxa" w:w="1661"/>
          </w:tcPr>
          <w:p>
            <w:pPr>
              <w:pStyle w:val="null3"/>
            </w:pPr>
            <w:r>
              <w:rPr>
                <w:rFonts w:ascii="仿宋_GB2312" w:hAnsi="仿宋_GB2312" w:cs="仿宋_GB2312" w:eastAsia="仿宋_GB2312"/>
              </w:rPr>
              <w:t>资格证明材料包2.docx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专⻔⾯向中⼩企业</w:t>
            </w:r>
          </w:p>
        </w:tc>
        <w:tc>
          <w:tcPr>
            <w:tcW w:type="dxa" w:w="3322"/>
          </w:tcPr>
          <w:p>
            <w:pPr>
              <w:pStyle w:val="null3"/>
            </w:pPr>
            <w:r>
              <w:rPr>
                <w:rFonts w:ascii="仿宋_GB2312" w:hAnsi="仿宋_GB2312" w:cs="仿宋_GB2312" w:eastAsia="仿宋_GB2312"/>
              </w:rPr>
              <w:t>本项⽬为专⻔⾯向中⼩企业项⽬，供应商应为中型企业、⼩型企业或微型企业或监狱企业或残疾⼈福利性单位。供应商为中⼩企业的，提供《中⼩企业声明函》，监狱企业或残疾⼈福利性单位视同⼩微企业</w:t>
            </w:r>
          </w:p>
        </w:tc>
        <w:tc>
          <w:tcPr>
            <w:tcW w:type="dxa" w:w="1661"/>
          </w:tcPr>
          <w:p>
            <w:pPr>
              <w:pStyle w:val="null3"/>
            </w:pPr>
            <w:r>
              <w:rPr>
                <w:rFonts w:ascii="仿宋_GB2312" w:hAnsi="仿宋_GB2312" w:cs="仿宋_GB2312" w:eastAsia="仿宋_GB2312"/>
              </w:rPr>
              <w:t>资格证明材料包2.docx 中小企业声明函 残疾人福利性单位声明函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为专⻔⾯向中⼩企业项⽬，供应商应为中型企业、⼩型企业或微型企业或监狱企业或残疾⼈福利性单位。供应商为中⼩企业的，提供《中⼩企业声明函》，监狱企业或残疾⼈福利性单位视同⼩微企业；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为专⻔⾯向中⼩企业项⽬，供应商应为中型企业、⼩型企业或微型企业或监狱企业或残疾⼈福利性单位。供应商为中⼩企业的，提供《中⼩企业声明函》，监狱企业或残疾⼈福利性单位视同⼩微企业；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报价明细表包1.pdf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w:t>
            </w:r>
          </w:p>
        </w:tc>
        <w:tc>
          <w:tcPr>
            <w:tcW w:type="dxa" w:w="3322"/>
          </w:tcPr>
          <w:p>
            <w:pPr>
              <w:pStyle w:val="null3"/>
            </w:pPr>
            <w:r>
              <w:rPr>
                <w:rFonts w:ascii="仿宋_GB2312" w:hAnsi="仿宋_GB2312" w:cs="仿宋_GB2312" w:eastAsia="仿宋_GB2312"/>
              </w:rPr>
              <w:t>投标文件没有重大缺项</w:t>
            </w:r>
          </w:p>
        </w:tc>
        <w:tc>
          <w:tcPr>
            <w:tcW w:type="dxa" w:w="1661"/>
          </w:tcPr>
          <w:p>
            <w:pPr>
              <w:pStyle w:val="null3"/>
            </w:pPr>
            <w:r>
              <w:rPr>
                <w:rFonts w:ascii="仿宋_GB2312" w:hAnsi="仿宋_GB2312" w:cs="仿宋_GB2312" w:eastAsia="仿宋_GB2312"/>
              </w:rPr>
              <w:t>开标一览表 报价明细表包1.pdf 技术服务方案包1.docx 投标函 中小企业声明函 残疾人福利性单位声明函 资格证明材料包1.docx 商务应答表 服务内容及服务要求应答表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投标文件的有效性</w:t>
            </w:r>
          </w:p>
        </w:tc>
        <w:tc>
          <w:tcPr>
            <w:tcW w:type="dxa" w:w="3322"/>
          </w:tcPr>
          <w:p>
            <w:pPr>
              <w:pStyle w:val="null3"/>
            </w:pPr>
            <w:r>
              <w:rPr>
                <w:rFonts w:ascii="仿宋_GB2312" w:hAnsi="仿宋_GB2312" w:cs="仿宋_GB2312" w:eastAsia="仿宋_GB2312"/>
              </w:rPr>
              <w:t>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报价明细表包1.pdf 技术服务方案包1.docx 投标函 中小企业声明函 残疾人福利性单位声明函 资格证明材料包1.docx 商务应答表 服务内容及服务要求应答表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w:t>
            </w:r>
          </w:p>
        </w:tc>
        <w:tc>
          <w:tcPr>
            <w:tcW w:type="dxa" w:w="3322"/>
          </w:tcPr>
          <w:p>
            <w:pPr>
              <w:pStyle w:val="null3"/>
            </w:pPr>
            <w:r>
              <w:rPr>
                <w:rFonts w:ascii="仿宋_GB2312" w:hAnsi="仿宋_GB2312" w:cs="仿宋_GB2312" w:eastAsia="仿宋_GB2312"/>
              </w:rPr>
              <w:t>投标文件服务内容无漏项；商务条款无偏离</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报价未超过采购预算</w:t>
            </w:r>
          </w:p>
        </w:tc>
        <w:tc>
          <w:tcPr>
            <w:tcW w:type="dxa" w:w="3322"/>
          </w:tcPr>
          <w:p>
            <w:pPr>
              <w:pStyle w:val="null3"/>
            </w:pPr>
            <w:r>
              <w:rPr>
                <w:rFonts w:ascii="仿宋_GB2312" w:hAnsi="仿宋_GB2312" w:cs="仿宋_GB2312" w:eastAsia="仿宋_GB2312"/>
              </w:rPr>
              <w:t>报价未超过采购预算</w:t>
            </w:r>
          </w:p>
        </w:tc>
        <w:tc>
          <w:tcPr>
            <w:tcW w:type="dxa" w:w="1661"/>
          </w:tcPr>
          <w:p>
            <w:pPr>
              <w:pStyle w:val="null3"/>
            </w:pPr>
            <w:r>
              <w:rPr>
                <w:rFonts w:ascii="仿宋_GB2312" w:hAnsi="仿宋_GB2312" w:cs="仿宋_GB2312" w:eastAsia="仿宋_GB2312"/>
              </w:rPr>
              <w:t>开标一览表 报价明细表包1.pdf 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报价明细表包2.pdf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w:t>
            </w:r>
          </w:p>
        </w:tc>
        <w:tc>
          <w:tcPr>
            <w:tcW w:type="dxa" w:w="3322"/>
          </w:tcPr>
          <w:p>
            <w:pPr>
              <w:pStyle w:val="null3"/>
            </w:pPr>
            <w:r>
              <w:rPr>
                <w:rFonts w:ascii="仿宋_GB2312" w:hAnsi="仿宋_GB2312" w:cs="仿宋_GB2312" w:eastAsia="仿宋_GB2312"/>
              </w:rPr>
              <w:t>投标文件没有重大缺项</w:t>
            </w:r>
          </w:p>
        </w:tc>
        <w:tc>
          <w:tcPr>
            <w:tcW w:type="dxa" w:w="1661"/>
          </w:tcPr>
          <w:p>
            <w:pPr>
              <w:pStyle w:val="null3"/>
            </w:pPr>
            <w:r>
              <w:rPr>
                <w:rFonts w:ascii="仿宋_GB2312" w:hAnsi="仿宋_GB2312" w:cs="仿宋_GB2312" w:eastAsia="仿宋_GB2312"/>
              </w:rPr>
              <w:t>开标一览表 报价明细表包2.pdf 资格证明材料包2.docx 投标函 中小企业声明函 残疾人福利性单位声明函 技术服务方案包2.docx 商务应答表 服务内容及服务要求应答表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投标文件的有效性</w:t>
            </w:r>
          </w:p>
        </w:tc>
        <w:tc>
          <w:tcPr>
            <w:tcW w:type="dxa" w:w="3322"/>
          </w:tcPr>
          <w:p>
            <w:pPr>
              <w:pStyle w:val="null3"/>
            </w:pPr>
            <w:r>
              <w:rPr>
                <w:rFonts w:ascii="仿宋_GB2312" w:hAnsi="仿宋_GB2312" w:cs="仿宋_GB2312" w:eastAsia="仿宋_GB2312"/>
              </w:rPr>
              <w:t>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报价明细表包2.pdf 资格证明材料包2.docx 投标函 中小企业声明函 残疾人福利性单位声明函 技术服务方案包2.docx 商务应答表 服务内容及服务要求应答表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w:t>
            </w:r>
          </w:p>
        </w:tc>
        <w:tc>
          <w:tcPr>
            <w:tcW w:type="dxa" w:w="3322"/>
          </w:tcPr>
          <w:p>
            <w:pPr>
              <w:pStyle w:val="null3"/>
            </w:pPr>
            <w:r>
              <w:rPr>
                <w:rFonts w:ascii="仿宋_GB2312" w:hAnsi="仿宋_GB2312" w:cs="仿宋_GB2312" w:eastAsia="仿宋_GB2312"/>
              </w:rPr>
              <w:t>投标文件服务内容无漏项；商务条款无偏离</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报价未超过采购预算</w:t>
            </w:r>
          </w:p>
        </w:tc>
        <w:tc>
          <w:tcPr>
            <w:tcW w:type="dxa" w:w="3322"/>
          </w:tcPr>
          <w:p>
            <w:pPr>
              <w:pStyle w:val="null3"/>
            </w:pPr>
            <w:r>
              <w:rPr>
                <w:rFonts w:ascii="仿宋_GB2312" w:hAnsi="仿宋_GB2312" w:cs="仿宋_GB2312" w:eastAsia="仿宋_GB2312"/>
              </w:rPr>
              <w:t>报价未超过采购预算</w:t>
            </w:r>
          </w:p>
        </w:tc>
        <w:tc>
          <w:tcPr>
            <w:tcW w:type="dxa" w:w="1661"/>
          </w:tcPr>
          <w:p>
            <w:pPr>
              <w:pStyle w:val="null3"/>
            </w:pPr>
            <w:r>
              <w:rPr>
                <w:rFonts w:ascii="仿宋_GB2312" w:hAnsi="仿宋_GB2312" w:cs="仿宋_GB2312" w:eastAsia="仿宋_GB2312"/>
              </w:rPr>
              <w:t>开标一览表 报价明细表包2.pdf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1）项目整体分析；（2）项目需求理解；（3）项目整体方案；（4）进度计划及保障措施；（5）人员职责划分。（二）评审标准：（1）每项评审内容完整无缺陷得3分，未提供得0分；（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技术服务方案包1.docx</w:t>
            </w:r>
          </w:p>
        </w:tc>
      </w:tr>
      <w:tr>
        <w:tc>
          <w:tcPr>
            <w:tcW w:type="dxa" w:w="831"/>
            <w:vMerge/>
          </w:tcPr>
          <w:p/>
        </w:tc>
        <w:tc>
          <w:tcPr>
            <w:tcW w:type="dxa" w:w="1661"/>
          </w:tcPr>
          <w:p>
            <w:pPr>
              <w:pStyle w:val="null3"/>
            </w:pPr>
            <w:r>
              <w:rPr>
                <w:rFonts w:ascii="仿宋_GB2312" w:hAnsi="仿宋_GB2312" w:cs="仿宋_GB2312" w:eastAsia="仿宋_GB2312"/>
              </w:rPr>
              <w:t>人员培训计划</w:t>
            </w:r>
          </w:p>
        </w:tc>
        <w:tc>
          <w:tcPr>
            <w:tcW w:type="dxa" w:w="2492"/>
          </w:tcPr>
          <w:p>
            <w:pPr>
              <w:pStyle w:val="null3"/>
            </w:pPr>
            <w:r>
              <w:rPr>
                <w:rFonts w:ascii="仿宋_GB2312" w:hAnsi="仿宋_GB2312" w:cs="仿宋_GB2312" w:eastAsia="仿宋_GB2312"/>
              </w:rPr>
              <w:t>（一）评审内容：（1）培训计划制定；（2）专业技能培训；（二）评审标准：每项评审内容完整无缺陷得3分，未提供得0分；（2）每项评审内容每存在一处缺陷扣0.5分，扣完为止；未提供不得分。（说明：存在下列情形之一的属于内容缺陷：①编制内容与项目需求不吻合、层次未细化的； ②阐述未从实际出发，不切合项目 背景、项目需求的；③存在抄袭或 套用其他地区内容或与本项目无关 的；④前后逻辑错误的；⑤无具体 详细的阐述、实施性不强的；⑥科学原理或常识错误的）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技术服务方案包1.docx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1）质量保障措施；（2）质量管控要求。（二）评审标准：（1）每项评审内容完整无缺陷得3分，未提供得0分；（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技术服务方案包1.docx</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一）评审内容：（1）安全管理方案；（2）在服务过程中人员安全保障措施。（二）评审标准：（1）每项评审内容完整无缺陷得1.5分，未提供得0分；（2）每项评审内容每存在一处缺陷扣0.25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技术服务方案包1.docx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1）突发事件识别；（2）应急情况处理措施；（3）突发事件应急人员安排。（二）评审标准：（1）每项评审内容完整无缺陷得3分，未提供得0分；（2）每项评审内容每存在一处缺陷扣0.5分，扣完为止。（说明：存在下列情形之一的属于内容缺陷：①内容与项目需求不吻合、层次未细化的；② 阐述未从实际出发，不切合项目背 景、项目需求的；③存在抄袭或套 用其他地区内容或与本项目无关的 ；④前后逻辑错误的；⑤无具体详细的阐述、实施性不强的；⑥科学原理或常识错误的）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技术服务方案包1.docx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针对本项目提出合理化建议，每提出一项有利于本项目实施的合理化建议得0.5分，本项最高得1分。未提供得0分。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技术服务方案包1.docx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1、服务团队：①实施团队人员配备8人及以上得15分；②实施团队人员配备5-7人得10分； ③实施团队人员配备1-4人得5分。 需提供佐证材料，包括但不限于身份证、毕业证、岗位证等，本项最高得15分，未提供不得分。 2、项目负责人具有中级职称得3分，高级职称得5分，本项最多得5分，需提供佐证材料，未提供不得分。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技术服务方案包1.docx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2023年5月至今(以合同签订日期为准)类似项目业绩，以合同扫描件为准，每提供一份合同计2.5分，最多得10分。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技术服务方案包1.docx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（2）投标（响应）报价低于通过符合性审查且报价次低供应商投标（响应）报价60%的，即投标（响应）报价&lt;通过符合性审查且报价次低供应商投标（响应）报价×60%。 （3）投标（响应）报价低于最高限价50%的，即投标（响应）报价&lt;最高限价×50%。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报价明细表包1.pdf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为评标基准价，其价格分为满分。其他供应商的价格得分统一按照下列公式计算：投标报价得分=（评标基准价/有效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报价明细表包1.pdf</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1）项目整体分析；（2）项目需求理解；（3）项目整体方案；（4）进度计划及保障措施；（5）人员职责划分。（二）评审标准：（1）每项评审内容完整无缺陷得3分，未提供得0分；（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技术服务方案包2.docx</w:t>
            </w:r>
          </w:p>
        </w:tc>
      </w:tr>
      <w:tr>
        <w:tc>
          <w:tcPr>
            <w:tcW w:type="dxa" w:w="831"/>
            <w:vMerge/>
          </w:tcPr>
          <w:p/>
        </w:tc>
        <w:tc>
          <w:tcPr>
            <w:tcW w:type="dxa" w:w="1661"/>
          </w:tcPr>
          <w:p>
            <w:pPr>
              <w:pStyle w:val="null3"/>
            </w:pPr>
            <w:r>
              <w:rPr>
                <w:rFonts w:ascii="仿宋_GB2312" w:hAnsi="仿宋_GB2312" w:cs="仿宋_GB2312" w:eastAsia="仿宋_GB2312"/>
              </w:rPr>
              <w:t>人员培训计划</w:t>
            </w:r>
          </w:p>
        </w:tc>
        <w:tc>
          <w:tcPr>
            <w:tcW w:type="dxa" w:w="2492"/>
          </w:tcPr>
          <w:p>
            <w:pPr>
              <w:pStyle w:val="null3"/>
            </w:pPr>
            <w:r>
              <w:rPr>
                <w:rFonts w:ascii="仿宋_GB2312" w:hAnsi="仿宋_GB2312" w:cs="仿宋_GB2312" w:eastAsia="仿宋_GB2312"/>
              </w:rPr>
              <w:t>（一）评审内容：（1）培训计划制定；（2）专业技能培训；（二）评审标准：每项评审内容完整无缺陷得3分，未提供得0分；（2）每项评审内容每存在一处缺陷扣0.5分，扣完为止；未提供不得分。（说明：存在下列情形之一的属于内容缺陷：①编制内容与项目需求不吻合、层次未细化的； ②阐述未从实际出发，不切合项目 背景、项目需求的；③存在抄袭或 套用其他地区内容或与本项目无关 的；④前后逻辑错误的；⑤无具体 详细的阐述、实施性不强的；⑥科学原理或常识错误的）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技术服务方案包2.docx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1）质量保障措施；（2）质量管控要求。（二）评审标准：（1）每项评审内容完整无缺陷得3分，未提供得0分；（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技术服务方案包2.docx</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一）评审内容：（1）安全管理方案；（2）在服务过程中人员安全保障措施。（二）评审标准：（1）每项评审内容完整无缺陷得1.5分，未提供得0分；（2）每项评审内容每存在一处缺陷扣0.25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技术服务方案包2.docx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1）突发事件识别；（2）应急情况处理措施；（3）突发事件应急人员安排。（二）评审标准：（1）每项评审内容完整无缺陷得3分，未提供得0分；（2）每项评审内容每存在一处缺陷扣0.5分，扣完为止。（说明：存在下列情形之一的属于内容缺陷：①内容与项目需求不吻合、层次未细化的；② 阐述未从实际出发，不切合项目背 景、项目需求的；③存在抄袭或套 用其他地区内容或与本项目无关的 ；④前后逻辑错误的；⑤无具体详细的阐述、实施性不强的；⑥科学原理或常识错误的）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技术服务方案包2.docx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针对本项目提出合理化建议，每提出一项有利于本项目实施的合理化建议得0.5分，本项最高得1分。未提供得0分。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技术服务方案包2.docx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1、服务团队：①实施团队人员配备8人及以上得15分；②实施团队人员配备5-7人得10分； ③实施团队人员配备1-4人得5分。 需提供佐证材料，包括但不限于身份证、毕业证、岗位证等，本项最高得15分，未提供不得分。 2、项目负责人具有中级职称得3分，高级职称得5分，本项最多得5分，需提供佐证材料，未提供不得分。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技术服务方案包2.docx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2023年5月至今(以合同签订日期为准)类似项目业绩，以合同扫描件为准，每提供一份合同计2.5分，最多得10分。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技术服务方案包2.docx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（2）投标（响应）报价低于通过符合性审查且报价次低供应商投标（响应）报价60%的，即投标（响应）报价&lt;通过符合性审查且报价次低供应商投标（响应）报价×60%。 （3）投标（响应）报价低于最高限价50%的，即投标（响应）报价&lt;最高限价×50%。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报价明细表包2.pdf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为评标基准价，其价格分为满分。其他供应商的价格得分统一按照下列公式计算：投标报价得分=（评标基准价/有效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报价明细表包2.pdf</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详见附件：资格证明材料包1.docx</w:t>
      </w:r>
    </w:p>
    <w:p>
      <w:pPr>
        <w:pStyle w:val="null3"/>
        <w:ind w:firstLine="960"/>
      </w:pPr>
      <w:r>
        <w:rPr>
          <w:rFonts w:ascii="仿宋_GB2312" w:hAnsi="仿宋_GB2312" w:cs="仿宋_GB2312" w:eastAsia="仿宋_GB2312"/>
        </w:rPr>
        <w:t>详见附件：技术服务方案包1.docx</w:t>
      </w:r>
    </w:p>
    <w:p>
      <w:pPr>
        <w:pStyle w:val="null3"/>
        <w:ind w:firstLine="960"/>
      </w:pPr>
      <w:r>
        <w:rPr>
          <w:rFonts w:ascii="仿宋_GB2312" w:hAnsi="仿宋_GB2312" w:cs="仿宋_GB2312" w:eastAsia="仿宋_GB2312"/>
        </w:rPr>
        <w:t>详见附件：报价明细表包1.pdf</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详见附件：资格证明材料包2.docx</w:t>
      </w:r>
    </w:p>
    <w:p>
      <w:pPr>
        <w:pStyle w:val="null3"/>
        <w:ind w:firstLine="960"/>
      </w:pPr>
      <w:r>
        <w:rPr>
          <w:rFonts w:ascii="仿宋_GB2312" w:hAnsi="仿宋_GB2312" w:cs="仿宋_GB2312" w:eastAsia="仿宋_GB2312"/>
        </w:rPr>
        <w:t>详见附件：技术服务方案包2.docx</w:t>
      </w:r>
    </w:p>
    <w:p>
      <w:pPr>
        <w:pStyle w:val="null3"/>
        <w:ind w:firstLine="960"/>
      </w:pPr>
      <w:r>
        <w:rPr>
          <w:rFonts w:ascii="仿宋_GB2312" w:hAnsi="仿宋_GB2312" w:cs="仿宋_GB2312" w:eastAsia="仿宋_GB2312"/>
        </w:rPr>
        <w:t>详见附件：报价明细表包2.pdf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