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3F446D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4EC0E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1BD3AC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1CF226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4E736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1530E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21E02DE"/>
        </w:tc>
        <w:tc>
          <w:tcPr>
            <w:tcW w:w="2769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10"/>
              <w:gridCol w:w="780"/>
              <w:gridCol w:w="1358"/>
            </w:tblGrid>
            <w:tr w14:paraId="25334DA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DC9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19"/>
                    </w:rPr>
                    <w:t>参数性质</w:t>
                  </w:r>
                </w:p>
              </w:tc>
              <w:tc>
                <w:tcPr>
                  <w:tcW w:w="2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8A78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19"/>
                    </w:rPr>
                    <w:t>序号</w:t>
                  </w:r>
                </w:p>
              </w:tc>
              <w:tc>
                <w:tcPr>
                  <w:tcW w:w="19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C84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19"/>
                    </w:rPr>
                    <w:t>技术参数与性能指标</w:t>
                  </w:r>
                </w:p>
              </w:tc>
            </w:tr>
            <w:tr w14:paraId="49E286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4BDEAC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73A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19"/>
                    </w:rPr>
                    <w:t>1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1AFA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b/>
                      <w:sz w:val="19"/>
                    </w:rPr>
                    <w:t>冲击试验系统</w:t>
                  </w:r>
                </w:p>
              </w:tc>
            </w:tr>
            <w:tr w14:paraId="43ED0D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3F2CD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49C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1.1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465A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碰撞频率≤10min／1000次@（负载0~25KG）</w:t>
                  </w:r>
                </w:p>
              </w:tc>
            </w:tr>
            <w:tr w14:paraId="1C31BE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02B0E2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2DC9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1.2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17D5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最大碰撞冲击峰值加速度≥500g@（负载0~25KG）</w:t>
                  </w:r>
                </w:p>
              </w:tc>
            </w:tr>
            <w:tr w14:paraId="350B98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5AA473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F1E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1.3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F686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脉冲持续时间（ms）：1.3～10</w:t>
                  </w:r>
                </w:p>
              </w:tc>
            </w:tr>
            <w:tr w14:paraId="2C0F74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9BB4F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21301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1.4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19B26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（500g）脉冲持续时间（ms）≥1.3</w:t>
                  </w:r>
                </w:p>
              </w:tc>
            </w:tr>
            <w:tr w14:paraId="15BD62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E5FCF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C432F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1.5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A06C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台面铝合金材质，台面尺寸（长×宽）≥300mm×300mm（铝合金）</w:t>
                  </w:r>
                </w:p>
              </w:tc>
            </w:tr>
            <w:tr w14:paraId="706759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01A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790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1.6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32C6F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波形：半正弦波</w:t>
                  </w:r>
                </w:p>
              </w:tc>
            </w:tr>
            <w:tr w14:paraId="7E0697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E96F9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B4F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1.7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CD74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负载≥300kg</w:t>
                  </w:r>
                </w:p>
              </w:tc>
            </w:tr>
            <w:tr w14:paraId="64C778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0171A2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F6C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1.8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9F7E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要求设备的操控系统人机界面友好、数据详尽、操作便捷，能够显示所有试验所需数据信息；要求设备的信号采集与控制集成在一个软件窗口，可对峰值加速度、脉冲宽度、碰撞频次等试验参数进行自行设定。</w:t>
                  </w:r>
                </w:p>
              </w:tc>
            </w:tr>
            <w:tr w14:paraId="083619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61678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177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1.9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B794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要求设备的测量控制系统的输入通道≥2个。</w:t>
                  </w:r>
                </w:p>
              </w:tc>
            </w:tr>
            <w:tr w14:paraId="3F147D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A97C1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24E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19"/>
                    </w:rPr>
                    <w:t>2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7B37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sz w:val="19"/>
                    </w:rPr>
                    <w:t>高温试验箱系统</w:t>
                  </w:r>
                </w:p>
              </w:tc>
            </w:tr>
            <w:tr w14:paraId="5580DF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59819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1A3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2.1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3F909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工作室尺寸容积：≥1m×1m×1m</w:t>
                  </w:r>
                </w:p>
              </w:tc>
            </w:tr>
            <w:tr w14:paraId="4CD691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A2F8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036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2.2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ADCB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温度范围：RT+10℃～+200℃</w:t>
                  </w:r>
                </w:p>
              </w:tc>
            </w:tr>
            <w:tr w14:paraId="6A9868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0BD04A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1D1CF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2.3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C43C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温度均匀度（℃）：≤2</w:t>
                  </w:r>
                </w:p>
              </w:tc>
            </w:tr>
            <w:tr w14:paraId="405D8F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82604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6804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2.4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B58AD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升温时间：3~5℃/min可调</w:t>
                  </w:r>
                </w:p>
              </w:tc>
            </w:tr>
            <w:tr w14:paraId="26A0B2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875CA6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323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2.5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7FD4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温度偏差（℃）：±2</w:t>
                  </w:r>
                </w:p>
              </w:tc>
            </w:tr>
            <w:tr w14:paraId="3B9FF4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086D7D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C18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2.6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78693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满足试验方法：GB/T2423、GJB 150A、D0-160G、IEC60068等；</w:t>
                  </w:r>
                </w:p>
              </w:tc>
            </w:tr>
            <w:tr w14:paraId="4F62D8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608CF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FDA8E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2.7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D9107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内壁箱体内壁采用SUS304不锈钢板制作。</w:t>
                  </w:r>
                </w:p>
              </w:tc>
            </w:tr>
            <w:tr w14:paraId="19013B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17657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EF2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2.8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0747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箱体大门采取密封措施。</w:t>
                  </w:r>
                </w:p>
              </w:tc>
            </w:tr>
            <w:tr w14:paraId="77F4D2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34333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FA1C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2.9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DA115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样品架：SUS304不锈钢样品架2层，均布载荷25kg/层。</w:t>
                  </w:r>
                </w:p>
              </w:tc>
            </w:tr>
            <w:tr w14:paraId="73A013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7FB9C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5777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2.10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EF7F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测试孔：Φ50mm测试孔1个，带不锈钢孔盖。</w:t>
                  </w:r>
                </w:p>
              </w:tc>
            </w:tr>
            <w:tr w14:paraId="732C78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59D87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51B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2.11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B563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控制器：采用全彩触摸屏程序控制器，人机界面中文显示。</w:t>
                  </w:r>
                </w:p>
              </w:tc>
            </w:tr>
            <w:tr w14:paraId="5DD0AA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640FE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930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2.11.1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26D90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试验过程中可实时显示当前目标温度、测量温度、加热输出量、运行时间等重要参数。程序运行时能同屏显示环境试验所需的设定值、测量值、运行程序名称或程序号、步数、每步计时。</w:t>
                  </w:r>
                </w:p>
              </w:tc>
            </w:tr>
            <w:tr w14:paraId="6FDC5D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395FF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868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2.11.2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A3AE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程序容量：预设程序运行功能，提供可预置≥100条程序曲线，每条曲线最大可设定100步，每步可设定0~500小时，6组小循环，每条程序可循环999次。</w:t>
                  </w:r>
                </w:p>
              </w:tc>
            </w:tr>
            <w:tr w14:paraId="65E085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BBCAA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C67A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2.11.3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856B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运行程序曲线用户可自行设计，须提供承诺函。</w:t>
                  </w:r>
                </w:p>
              </w:tc>
            </w:tr>
            <w:tr w14:paraId="7B8984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9B56B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6C18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2.12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940BF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安全保护功能：断电保护，自诊断，超温保护功能等。</w:t>
                  </w:r>
                </w:p>
              </w:tc>
            </w:tr>
            <w:tr w14:paraId="7E4FF4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6C100F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3AF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F0B47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总体要求</w:t>
                  </w:r>
                </w:p>
              </w:tc>
            </w:tr>
            <w:tr w14:paraId="5BC177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15495E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4FB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3.1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788BF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提供高温试验箱和冲击试验系统的集成方案，包括但不限于集成图片、组合方式等。</w:t>
                  </w:r>
                </w:p>
              </w:tc>
            </w:tr>
            <w:tr w14:paraId="3C2F97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E7ABBB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7B7A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3.2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01FA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配备加速度传感器2支（量程：±2000g，采样频率范围：1-10KHz，提供第三方计量报告），2根配套的传感器线缆。</w:t>
                  </w:r>
                </w:p>
              </w:tc>
            </w:tr>
            <w:tr w14:paraId="6B325F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8C567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3EB6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3.3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A9A1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配备电路板专用测试夹具和电路板测试软硬件，实现复合环境下电路板关键节点（≥60路）状态的同步监测和报警。</w:t>
                  </w:r>
                </w:p>
              </w:tc>
            </w:tr>
            <w:tr w14:paraId="45922E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ECC05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851F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3.4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0A0DC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设备设计应充分考虑人员安全，具备相应的安全保护功能。</w:t>
                  </w:r>
                </w:p>
              </w:tc>
            </w:tr>
            <w:tr w14:paraId="1BA916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09D42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A8D4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81284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技术文件</w:t>
                  </w:r>
                </w:p>
              </w:tc>
            </w:tr>
            <w:tr w14:paraId="74CACC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84036">
                  <w:pPr>
                    <w:pStyle w:val="4"/>
                    <w:jc w:val="center"/>
                  </w:pPr>
                </w:p>
              </w:tc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BDA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4.1</w:t>
                  </w:r>
                </w:p>
              </w:tc>
              <w:tc>
                <w:tcPr>
                  <w:tcW w:w="1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B2763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装箱单1份，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提供设备使用说明书1份，质量合格证一份。</w:t>
                  </w:r>
                </w:p>
              </w:tc>
            </w:tr>
            <w:tr w14:paraId="5FF6F3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3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5F103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注：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★项技术参数在响应文件中需提供证明材料，包括但不限于产品彩页、白皮书、第三方检测报告等相关佐证材料，</w:t>
                  </w: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未提供或提供但无法佐证的按无效响应处理。</w:t>
                  </w:r>
                </w:p>
              </w:tc>
            </w:tr>
          </w:tbl>
          <w:p w14:paraId="4F8FF4E2"/>
        </w:tc>
      </w:tr>
    </w:tbl>
    <w:p w14:paraId="0695C04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0608E9"/>
    <w:rsid w:val="6B06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2026-07-21T10:19:00Z</dcterms:created>
  <dc:creator>白日梦</dc:creator>
  <cp:lastModifiedBy>白日梦</cp:lastModifiedBy>
  <dcterms:modified xsi:type="dcterms:W3CDTF">2026-07-21T10:19:51Z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116EF144FDA144578EF5E26D5717575E_11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