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版本号：CGZC-2026-019-SXLX26-02-035Z(F)20260429001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2026年统计工作辅助服务项目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CGZC-2026-019-SXLX26-02-035Z(F)</w:t>
      </w:r>
      <w:r>
        <w:br/>
      </w:r>
      <w:r>
        <w:br/>
      </w:r>
      <w:r>
        <w:br/>
      </w:r>
    </w:p>
    <w:p>
      <w:pPr>
        <w:pStyle w:val="null3"/>
        <w:jc w:val="center"/>
        <w:outlineLvl w:val="2"/>
      </w:pPr>
      <w:r>
        <w:rPr>
          <w:rFonts w:ascii="仿宋_GB2312" w:hAnsi="仿宋_GB2312" w:cs="仿宋_GB2312" w:eastAsia="仿宋_GB2312"/>
          <w:sz w:val="28"/>
          <w:b/>
        </w:rPr>
        <w:t>西安浐灞国际港经济发展改革局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西安浐灞国际港经济发展改革局</w:t>
      </w:r>
      <w:r>
        <w:rPr>
          <w:rFonts w:ascii="仿宋_GB2312" w:hAnsi="仿宋_GB2312" w:cs="仿宋_GB2312" w:eastAsia="仿宋_GB2312"/>
        </w:rPr>
        <w:t>委托，拟对</w:t>
      </w:r>
      <w:r>
        <w:rPr>
          <w:rFonts w:ascii="仿宋_GB2312" w:hAnsi="仿宋_GB2312" w:cs="仿宋_GB2312" w:eastAsia="仿宋_GB2312"/>
        </w:rPr>
        <w:t>2026年统计工作辅助服务项目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CGZC-2026-019-SXLX26-02-035Z(F)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2026年统计工作辅助服务项目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本项目旨在为西安浐灞国际港提供专业的统计工作辅助服务，开展经济发展改革局经济、社会、部门等统计工作服务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采购包1（2026年统计工作辅助服务项目）：属于专门面向中小企业采购。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1、合同包1(2026年统计工作辅助服务项目)特定资格要求如下:：(1)供应商的营业执照等证明文件，自然人的身份证明； (2)法定代表人（单位负责人）参加磋商的，提供本人身份证复印件；法定代表人（单位负责人）授权他人参加磋商的，提供法定代表人（单位负责人）委托授权书并出示被授权代表的身份证复印件以及2025年1月至今任意时段在本单位注册的已缴纳的社会保障资金缴存单据或社保机构开具的社会保险参保缴费情况证明； (3)提供2024年度或2025年度经审计的财务会计报告或其提交响应文件截止时间前3个月内银行出具的资信证明。 (4)提供供应商2025年1月至今已缴纳任意时段任意税种完税凭证或税务机关开具的完税证明（除个人所得税外，税法规定的任意税种）；依法免税的应提供相关文件证明； (5)提供供应商2025年1月至今任意时段已缴纳的社会保障资金缴存单据或社保机构开具的社会保险参保缴费情况证明；依法不需要缴纳社会保障资金的应提供相关文件证明； (6)具备履行合同所必需的设备和专业技术能力的证明； (7)参加本次磋商前3年内，在经营活动中没有重大违法记录的书面声明； (8)采购代理机构将于本项目响应文件递交截止日，在 “信用中国”“中国政府采购网” 对投标人进行信用记录查询。对列入重大税收违法失信主体名单、或处于政府采购严重违法失信行为信息记录中禁止参加政府采购活动期间的供应商，将拒绝其参与本次政府采购活动； (9)单位负责人为同一人或者存在直接控股、管理关系的不同供应商，不得参加同一合同项下的采购活动 (10)本项目不接受联合体磋商。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西安浐灞国际港经济发展改革局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029-83332053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陕西省西安市雁塔区雁翔路111号赛格·中京坊6幢1单元2层10201室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任甜、王小琼、梁嘉峰、魏晴霏、杜航、罗晓妮、李亚男、郑婧婧、王真、周晓青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展改革委办公厅颁发的《关于招标代理服务收费有关问题的通知》（发改办价格〔2003〕857号）文件规定标准计算收取，具体收费金额将在成交公告中公布。 请将采购代理服务费汇至下列指定账户： 开户名称：陕西隆信项目管理有限公司 开 户 行：招商银行股份有限公司西安土门支行 账 号：129904064810902 财务部电话：029-88489979-8501 注：招标代理服务费计入投标报价，但报价中不需要单独列项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西安浐灞国际港经济发展改革局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西安浐灞国际港经济发展改革局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西安浐灞国际港经济发展改革局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联系人：任甜、王小琼、梁嘉峰、魏晴霏、杜航、罗晓妮、李亚男、郑婧婧、王真、周晓青</w:t>
      </w:r>
    </w:p>
    <w:p>
      <w:pPr>
        <w:pStyle w:val="null3"/>
      </w:pPr>
      <w:r>
        <w:rPr>
          <w:rFonts w:ascii="仿宋_GB2312" w:hAnsi="仿宋_GB2312" w:cs="仿宋_GB2312" w:eastAsia="仿宋_GB2312"/>
        </w:rPr>
        <w:t>联系电话：029-88489979-8203</w:t>
      </w:r>
    </w:p>
    <w:p>
      <w:pPr>
        <w:pStyle w:val="null3"/>
      </w:pPr>
      <w:r>
        <w:rPr>
          <w:rFonts w:ascii="仿宋_GB2312" w:hAnsi="仿宋_GB2312" w:cs="仿宋_GB2312" w:eastAsia="仿宋_GB2312"/>
        </w:rPr>
        <w:t>地址：陕西省西安市雁塔区雁翔路111号赛格·中京坊6幢1单元2层10201室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本项目旨在为西安浐灞国际港提供专业的统计工作辅助服务，开展经济发展改革局经济、社会、部门等统计工作服务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2026年统计工作辅助服务项目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标的名称：2026年统计工作辅助服务项目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FF"/>
              </w:rPr>
              <w:t>一、项目概况</w:t>
            </w:r>
          </w:p>
          <w:p>
            <w:pPr>
              <w:pStyle w:val="null3"/>
              <w:ind w:firstLine="410"/>
              <w:jc w:val="both"/>
            </w:pPr>
            <w:r>
              <w:rPr>
                <w:rFonts w:ascii="仿宋_GB2312" w:hAnsi="仿宋_GB2312" w:cs="仿宋_GB2312" w:eastAsia="仿宋_GB2312"/>
                <w:b/>
                <w:color w:val="0000FF"/>
              </w:rPr>
              <w:t>1.1项目基本情况：</w:t>
            </w:r>
            <w:r>
              <w:rPr>
                <w:rFonts w:ascii="仿宋_GB2312" w:hAnsi="仿宋_GB2312" w:cs="仿宋_GB2312" w:eastAsia="仿宋_GB2312"/>
                <w:color w:val="0000FF"/>
              </w:rPr>
              <w:t>本项目旨在为西安浐灞国际港提供专业的统计工作辅助服务，开展经济发展改</w:t>
            </w:r>
            <w:r>
              <w:rPr>
                <w:rFonts w:ascii="仿宋_GB2312" w:hAnsi="仿宋_GB2312" w:cs="仿宋_GB2312" w:eastAsia="仿宋_GB2312"/>
                <w:sz w:val="20"/>
                <w:color w:val="0000FF"/>
              </w:rPr>
              <w:t>革局经济、社会、部门等统计工作服务；采购人（西安浐灞国际港经济发展改革局）对本项目服务全过程拥有监督、管理、考核及最终决策权</w:t>
            </w:r>
            <w:r>
              <w:rPr>
                <w:rFonts w:ascii="仿宋_GB2312" w:hAnsi="仿宋_GB2312" w:cs="仿宋_GB2312" w:eastAsia="仿宋_GB2312"/>
                <w:sz w:val="20"/>
                <w:color w:val="0000FF"/>
              </w:rPr>
              <w:t>。</w:t>
            </w:r>
          </w:p>
          <w:p>
            <w:pPr>
              <w:pStyle w:val="null3"/>
              <w:ind w:firstLine="410"/>
              <w:jc w:val="both"/>
            </w:pPr>
            <w:r>
              <w:rPr>
                <w:rFonts w:ascii="仿宋_GB2312" w:hAnsi="仿宋_GB2312" w:cs="仿宋_GB2312" w:eastAsia="仿宋_GB2312"/>
                <w:b/>
                <w:color w:val="0000FF"/>
              </w:rPr>
              <w:t>1.2本项目采购标的名称：</w:t>
            </w:r>
            <w:r>
              <w:rPr>
                <w:rFonts w:ascii="仿宋_GB2312" w:hAnsi="仿宋_GB2312" w:cs="仿宋_GB2312" w:eastAsia="仿宋_GB2312"/>
                <w:color w:val="0000FF"/>
              </w:rPr>
              <w:t>2026年统计工作辅助服务项目 。本项目所属行业为其他未列明行业。</w:t>
            </w:r>
          </w:p>
          <w:p>
            <w:pPr>
              <w:pStyle w:val="null3"/>
              <w:spacing w:before="120" w:after="120"/>
              <w:jc w:val="left"/>
              <w:outlineLvl w:val="1"/>
            </w:pPr>
            <w:r>
              <w:rPr>
                <w:rFonts w:ascii="仿宋_GB2312" w:hAnsi="仿宋_GB2312" w:cs="仿宋_GB2312" w:eastAsia="仿宋_GB2312"/>
                <w:sz w:val="28"/>
                <w:b/>
                <w:color w:val="0000FF"/>
              </w:rPr>
              <w:t>二</w:t>
            </w:r>
            <w:r>
              <w:rPr>
                <w:rFonts w:ascii="仿宋_GB2312" w:hAnsi="仿宋_GB2312" w:cs="仿宋_GB2312" w:eastAsia="仿宋_GB2312"/>
                <w:sz w:val="28"/>
                <w:b/>
                <w:color w:val="0000FF"/>
              </w:rPr>
              <w:t>、</w:t>
            </w:r>
            <w:r>
              <w:rPr>
                <w:rFonts w:ascii="仿宋_GB2312" w:hAnsi="仿宋_GB2312" w:cs="仿宋_GB2312" w:eastAsia="仿宋_GB2312"/>
                <w:sz w:val="28"/>
                <w:b/>
                <w:color w:val="0000FF"/>
              </w:rPr>
              <w:t>服务</w:t>
            </w:r>
            <w:r>
              <w:rPr>
                <w:rFonts w:ascii="仿宋_GB2312" w:hAnsi="仿宋_GB2312" w:cs="仿宋_GB2312" w:eastAsia="仿宋_GB2312"/>
                <w:sz w:val="28"/>
                <w:b/>
                <w:color w:val="0000FF"/>
              </w:rPr>
              <w:t>内容及要求</w:t>
            </w:r>
          </w:p>
          <w:p>
            <w:pPr>
              <w:pStyle w:val="null3"/>
              <w:ind w:firstLine="402"/>
              <w:jc w:val="left"/>
            </w:pPr>
            <w:r>
              <w:rPr>
                <w:rFonts w:ascii="仿宋_GB2312" w:hAnsi="仿宋_GB2312" w:cs="仿宋_GB2312" w:eastAsia="仿宋_GB2312"/>
                <w:sz w:val="20"/>
                <w:b/>
                <w:color w:val="0000FF"/>
              </w:rPr>
              <w:t>1、工作范围：</w:t>
            </w:r>
          </w:p>
          <w:p>
            <w:pPr>
              <w:pStyle w:val="null3"/>
              <w:ind w:firstLine="400"/>
              <w:jc w:val="left"/>
            </w:pPr>
            <w:r>
              <w:rPr>
                <w:rFonts w:ascii="仿宋_GB2312" w:hAnsi="仿宋_GB2312" w:cs="仿宋_GB2312" w:eastAsia="仿宋_GB2312"/>
                <w:sz w:val="20"/>
                <w:color w:val="0000FF"/>
              </w:rPr>
              <w:t>服务范围覆盖西安浐灞国际港内，开展经济发展改革局经济、社会、部门等统计工作服务，开展企业报表催报、指标查询审核、企业统计人员培训等工作服务</w:t>
            </w:r>
            <w:r>
              <w:rPr>
                <w:rFonts w:ascii="仿宋_GB2312" w:hAnsi="仿宋_GB2312" w:cs="仿宋_GB2312" w:eastAsia="仿宋_GB2312"/>
                <w:sz w:val="20"/>
                <w:color w:val="0000FF"/>
              </w:rPr>
              <w:t>。</w:t>
            </w:r>
          </w:p>
          <w:p>
            <w:pPr>
              <w:pStyle w:val="null3"/>
              <w:ind w:firstLine="402"/>
              <w:jc w:val="left"/>
            </w:pPr>
            <w:r>
              <w:rPr>
                <w:rFonts w:ascii="仿宋_GB2312" w:hAnsi="仿宋_GB2312" w:cs="仿宋_GB2312" w:eastAsia="仿宋_GB2312"/>
                <w:sz w:val="20"/>
                <w:b/>
                <w:color w:val="0000FF"/>
              </w:rPr>
              <w:t>2、服务内容：</w:t>
            </w:r>
          </w:p>
          <w:p>
            <w:pPr>
              <w:pStyle w:val="null3"/>
              <w:ind w:firstLine="402"/>
              <w:jc w:val="left"/>
            </w:pPr>
            <w:r>
              <w:rPr>
                <w:rFonts w:ascii="仿宋_GB2312" w:hAnsi="仿宋_GB2312" w:cs="仿宋_GB2312" w:eastAsia="仿宋_GB2312"/>
                <w:sz w:val="20"/>
                <w:b/>
                <w:color w:val="0000FF"/>
              </w:rPr>
              <w:t>2.1统计基础工作：</w:t>
            </w:r>
          </w:p>
          <w:p>
            <w:pPr>
              <w:pStyle w:val="null3"/>
              <w:ind w:firstLine="400"/>
              <w:jc w:val="left"/>
            </w:pPr>
            <w:r>
              <w:rPr>
                <w:rFonts w:ascii="仿宋_GB2312" w:hAnsi="仿宋_GB2312" w:cs="仿宋_GB2312" w:eastAsia="仿宋_GB2312"/>
                <w:sz w:val="20"/>
                <w:color w:val="0000FF"/>
              </w:rPr>
              <w:t>①经济与社会统计工作：协助采购人开展辖区内经济、社会</w:t>
            </w:r>
            <w:r>
              <w:rPr>
                <w:rFonts w:ascii="仿宋_GB2312" w:hAnsi="仿宋_GB2312" w:cs="仿宋_GB2312" w:eastAsia="仿宋_GB2312"/>
                <w:sz w:val="20"/>
                <w:color w:val="0000FF"/>
              </w:rPr>
              <w:t>、部门</w:t>
            </w:r>
            <w:r>
              <w:rPr>
                <w:rFonts w:ascii="仿宋_GB2312" w:hAnsi="仿宋_GB2312" w:cs="仿宋_GB2312" w:eastAsia="仿宋_GB2312"/>
                <w:sz w:val="20"/>
                <w:color w:val="0000FF"/>
              </w:rPr>
              <w:t>各类统计工作，负责统计数据的收集、整理、汇总，配合做好统计工作的统筹协调、流程规范，确保各项统计工作有序推进、衔接顺畅，符合上级统计部门工作要求</w:t>
            </w:r>
            <w:r>
              <w:rPr>
                <w:rFonts w:ascii="仿宋_GB2312" w:hAnsi="仿宋_GB2312" w:cs="仿宋_GB2312" w:eastAsia="仿宋_GB2312"/>
                <w:sz w:val="20"/>
                <w:color w:val="0000FF"/>
              </w:rPr>
              <w:t>，</w:t>
            </w:r>
            <w:r>
              <w:rPr>
                <w:rFonts w:ascii="仿宋_GB2312" w:hAnsi="仿宋_GB2312" w:cs="仿宋_GB2312" w:eastAsia="仿宋_GB2312"/>
                <w:sz w:val="20"/>
                <w:color w:val="0000FF"/>
              </w:rPr>
              <w:t>采购人指派专人对接此项工作，对统计数据的真实性、合规性进行最终审核把关，供应商需配合采购人完成数据核验、流程确认等工作，不得擅自决定统计工作核心事项。</w:t>
            </w:r>
          </w:p>
          <w:p>
            <w:pPr>
              <w:pStyle w:val="null3"/>
              <w:ind w:firstLine="400"/>
              <w:jc w:val="left"/>
            </w:pPr>
            <w:r>
              <w:rPr>
                <w:rFonts w:ascii="仿宋_GB2312" w:hAnsi="仿宋_GB2312" w:cs="仿宋_GB2312" w:eastAsia="仿宋_GB2312"/>
                <w:sz w:val="20"/>
                <w:color w:val="0000FF"/>
              </w:rPr>
              <w:t>②专业统计推进工作：负责辖区内统计专业“五上”单位和“五下”单位的月度、季度、年度统计报表的催报、审核工作。及时传达上级统计工作要求、政策调整及报表规范，确保各专业企业统计工作的各项指标填报规范、数据准确。及时提醒督促企业按时报送报表，对企业报送的统计数据进行初步审核，排查数据异常、逻辑错误等情况，及时反馈企业修正，确保报表报送及时率达到考核标准。供应商需根据工作进度定期向采购人汇报工作进展，采购人对催报效率、审核质量进行定期检查，对未达标的情况责令供应商限期整改。</w:t>
            </w:r>
          </w:p>
          <w:p>
            <w:pPr>
              <w:pStyle w:val="null3"/>
              <w:ind w:firstLine="400"/>
              <w:jc w:val="left"/>
            </w:pPr>
            <w:r>
              <w:rPr>
                <w:rFonts w:ascii="仿宋_GB2312" w:hAnsi="仿宋_GB2312" w:cs="仿宋_GB2312" w:eastAsia="仿宋_GB2312"/>
                <w:sz w:val="20"/>
                <w:color w:val="0000FF"/>
              </w:rPr>
              <w:t>③统计检查与督察配合：配合上级及本区开展“双随机、一公开”等各类统计检查、督察工作，按要求整理、汇总督察检查相关资料、台账及佐证材料，协助落实督察检查提出的整改意见，跟踪整改进度，完成整改资料的整理、上报工作，确保检查督察工作顺利推进，整改事项闭环落实。</w:t>
            </w:r>
          </w:p>
          <w:p>
            <w:pPr>
              <w:pStyle w:val="null3"/>
              <w:ind w:firstLine="400"/>
              <w:jc w:val="left"/>
            </w:pPr>
            <w:r>
              <w:rPr>
                <w:rFonts w:ascii="仿宋_GB2312" w:hAnsi="仿宋_GB2312" w:cs="仿宋_GB2312" w:eastAsia="仿宋_GB2312"/>
                <w:sz w:val="20"/>
                <w:color w:val="0000FF"/>
              </w:rPr>
              <w:t>④新增企业统计服务：更新和维护基本单位名录库信息数据，负责新增企业纳统资料的收集、录入、审核等工作，确保新增企业及时纳统，达到考核标准。对接辖区内新增企业，为企业提供统计工作指导、业务培训等服务，指导企业完成统计报表填报、指标解读等相关工作，组织企业统计人员开展专项业务培训，提升企业统计人员的专业能力，确保新增企业及时纳入统计范围、规范开展统计工作。</w:t>
            </w:r>
          </w:p>
          <w:p>
            <w:pPr>
              <w:pStyle w:val="null3"/>
              <w:ind w:firstLine="402"/>
              <w:jc w:val="left"/>
            </w:pPr>
            <w:r>
              <w:rPr>
                <w:rFonts w:ascii="仿宋_GB2312" w:hAnsi="仿宋_GB2312" w:cs="仿宋_GB2312" w:eastAsia="仿宋_GB2312"/>
                <w:sz w:val="20"/>
                <w:b/>
                <w:color w:val="0000FF"/>
              </w:rPr>
              <w:t>2.2数据管理与分析：</w:t>
            </w:r>
          </w:p>
          <w:p>
            <w:pPr>
              <w:pStyle w:val="null3"/>
              <w:ind w:firstLine="400"/>
              <w:jc w:val="left"/>
            </w:pPr>
            <w:r>
              <w:rPr>
                <w:rFonts w:ascii="仿宋_GB2312" w:hAnsi="仿宋_GB2312" w:cs="仿宋_GB2312" w:eastAsia="仿宋_GB2312"/>
                <w:sz w:val="20"/>
                <w:color w:val="0000FF"/>
              </w:rPr>
              <w:t>①开展月度、季度、年度统计数据汇总、整理、分析工作，结合辖区经济社会发展实际，形成基础数据汇总报表报告，为采购人决策提供数据支撑。数据汇总报表及分析报告需经采购人审核，采购人可根据工作需要提出修改意见，供应商需配合完善，确保数据支撑的科学性、准确性。</w:t>
            </w:r>
          </w:p>
          <w:p>
            <w:pPr>
              <w:pStyle w:val="null3"/>
              <w:ind w:firstLine="400"/>
              <w:jc w:val="left"/>
            </w:pPr>
            <w:r>
              <w:rPr>
                <w:rFonts w:ascii="仿宋_GB2312" w:hAnsi="仿宋_GB2312" w:cs="仿宋_GB2312" w:eastAsia="仿宋_GB2312"/>
                <w:sz w:val="20"/>
                <w:color w:val="0000FF"/>
              </w:rPr>
              <w:t>②开展统计数据质量核查工作，定期对西安浐灞国际港内企业统计数据进行抽查核查，排查数据造假、错报、漏报等问题，建立数据质量核查台账，提出整改建议并跟踪落实。</w:t>
            </w:r>
          </w:p>
          <w:p>
            <w:pPr>
              <w:pStyle w:val="null3"/>
              <w:ind w:firstLine="402"/>
              <w:jc w:val="left"/>
            </w:pPr>
            <w:r>
              <w:rPr>
                <w:rFonts w:ascii="仿宋_GB2312" w:hAnsi="仿宋_GB2312" w:cs="仿宋_GB2312" w:eastAsia="仿宋_GB2312"/>
                <w:sz w:val="20"/>
                <w:b/>
                <w:color w:val="0000FF"/>
              </w:rPr>
              <w:t>2.3基础管理工作：</w:t>
            </w:r>
          </w:p>
          <w:p>
            <w:pPr>
              <w:pStyle w:val="null3"/>
              <w:ind w:firstLine="400"/>
              <w:jc w:val="left"/>
            </w:pPr>
            <w:r>
              <w:rPr>
                <w:rFonts w:ascii="仿宋_GB2312" w:hAnsi="仿宋_GB2312" w:cs="仿宋_GB2312" w:eastAsia="仿宋_GB2312"/>
                <w:sz w:val="20"/>
                <w:color w:val="0000FF"/>
              </w:rPr>
              <w:t>①工作台账管理：建立健全各类统计工作台账，确保各项工作可追溯、可核查，台账规范、完整、清晰。所有工作台账需定期提交采购人审核，采购人有权查阅、复制相关台账，供应商需予以配合，不得隐瞒、篡改台账信息。</w:t>
            </w:r>
          </w:p>
          <w:p>
            <w:pPr>
              <w:pStyle w:val="null3"/>
              <w:ind w:firstLine="400"/>
              <w:jc w:val="left"/>
            </w:pPr>
            <w:r>
              <w:rPr>
                <w:rFonts w:ascii="仿宋_GB2312" w:hAnsi="仿宋_GB2312" w:cs="仿宋_GB2312" w:eastAsia="仿宋_GB2312"/>
                <w:sz w:val="20"/>
                <w:color w:val="0000FF"/>
              </w:rPr>
              <w:t>②计划与总结管理：按照采购人的工作要求，按阶段提交工作计划和服务成果总结报告，明确工作重点、完成情况及下一步工作安排，确保工作有序推进、有据可查。</w:t>
            </w:r>
          </w:p>
          <w:p>
            <w:pPr>
              <w:pStyle w:val="null3"/>
              <w:ind w:firstLine="400"/>
              <w:jc w:val="left"/>
            </w:pPr>
            <w:r>
              <w:rPr>
                <w:rFonts w:ascii="仿宋_GB2312" w:hAnsi="仿宋_GB2312" w:cs="仿宋_GB2312" w:eastAsia="仿宋_GB2312"/>
                <w:sz w:val="20"/>
                <w:color w:val="0000FF"/>
              </w:rPr>
              <w:t>③监督配合工作：严格按照采购人的工作要求、时间节点开展各项服务工作，主动接受采购人的监督检查、考核评估，及时整改工作中存在的问题，提升服务质量；</w:t>
            </w:r>
          </w:p>
          <w:p>
            <w:pPr>
              <w:pStyle w:val="null3"/>
              <w:ind w:firstLine="402"/>
              <w:jc w:val="left"/>
            </w:pPr>
            <w:r>
              <w:rPr>
                <w:rFonts w:ascii="仿宋_GB2312" w:hAnsi="仿宋_GB2312" w:cs="仿宋_GB2312" w:eastAsia="仿宋_GB2312"/>
                <w:sz w:val="20"/>
                <w:b/>
                <w:color w:val="0000FF"/>
              </w:rPr>
              <w:t>2.4考核指标</w:t>
            </w:r>
          </w:p>
          <w:p>
            <w:pPr>
              <w:pStyle w:val="null3"/>
              <w:ind w:firstLine="400"/>
              <w:jc w:val="left"/>
            </w:pPr>
            <w:r>
              <w:rPr>
                <w:rFonts w:ascii="仿宋_GB2312" w:hAnsi="仿宋_GB2312" w:cs="仿宋_GB2312" w:eastAsia="仿宋_GB2312"/>
                <w:sz w:val="20"/>
                <w:color w:val="0000FF"/>
              </w:rPr>
              <w:t>① 报表催报及时率≥98%；</w:t>
            </w:r>
          </w:p>
          <w:p>
            <w:pPr>
              <w:pStyle w:val="null3"/>
              <w:ind w:firstLine="400"/>
              <w:jc w:val="left"/>
            </w:pPr>
            <w:r>
              <w:rPr>
                <w:rFonts w:ascii="仿宋_GB2312" w:hAnsi="仿宋_GB2312" w:cs="仿宋_GB2312" w:eastAsia="仿宋_GB2312"/>
                <w:sz w:val="20"/>
                <w:color w:val="0000FF"/>
              </w:rPr>
              <w:t>② 新增企业纳统资料收集、录入、审核及时率100%；</w:t>
            </w:r>
          </w:p>
          <w:p>
            <w:pPr>
              <w:pStyle w:val="null3"/>
              <w:ind w:firstLine="400"/>
              <w:jc w:val="left"/>
            </w:pPr>
            <w:r>
              <w:rPr>
                <w:rFonts w:ascii="仿宋_GB2312" w:hAnsi="仿宋_GB2312" w:cs="仿宋_GB2312" w:eastAsia="仿宋_GB2312"/>
                <w:sz w:val="20"/>
                <w:color w:val="0000FF"/>
              </w:rPr>
              <w:t>③ 新增企业统计指导、培训覆盖率100%；</w:t>
            </w:r>
          </w:p>
          <w:p>
            <w:pPr>
              <w:pStyle w:val="null3"/>
              <w:ind w:firstLine="400"/>
              <w:jc w:val="left"/>
            </w:pPr>
            <w:r>
              <w:rPr>
                <w:rFonts w:ascii="仿宋_GB2312" w:hAnsi="仿宋_GB2312" w:cs="仿宋_GB2312" w:eastAsia="仿宋_GB2312"/>
                <w:sz w:val="20"/>
                <w:color w:val="0000FF"/>
              </w:rPr>
              <w:t>④ 数据质量核查问题整改闭环率100%；</w:t>
            </w:r>
          </w:p>
          <w:p>
            <w:pPr>
              <w:pStyle w:val="null3"/>
              <w:ind w:firstLine="400"/>
              <w:jc w:val="left"/>
            </w:pPr>
            <w:r>
              <w:rPr>
                <w:rFonts w:ascii="仿宋_GB2312" w:hAnsi="仿宋_GB2312" w:cs="仿宋_GB2312" w:eastAsia="仿宋_GB2312"/>
                <w:sz w:val="20"/>
                <w:color w:val="0000FF"/>
              </w:rPr>
              <w:t>⑤ 上级及本区各类检查督察资料整理、上报及时率100%，无遗漏、无差错；</w:t>
            </w:r>
          </w:p>
          <w:p>
            <w:pPr>
              <w:pStyle w:val="null3"/>
              <w:ind w:firstLine="400"/>
              <w:jc w:val="left"/>
            </w:pPr>
            <w:r>
              <w:rPr>
                <w:rFonts w:ascii="仿宋_GB2312" w:hAnsi="仿宋_GB2312" w:cs="仿宋_GB2312" w:eastAsia="仿宋_GB2312"/>
                <w:sz w:val="20"/>
                <w:color w:val="0000FF"/>
              </w:rPr>
              <w:t>⑥ 工作计划、工作总结提交及时率100%，内容完整、符合采购人要求；</w:t>
            </w:r>
          </w:p>
          <w:p>
            <w:pPr>
              <w:pStyle w:val="null3"/>
              <w:ind w:firstLine="400"/>
              <w:jc w:val="left"/>
            </w:pPr>
            <w:r>
              <w:rPr>
                <w:rFonts w:ascii="仿宋_GB2312" w:hAnsi="仿宋_GB2312" w:cs="仿宋_GB2312" w:eastAsia="仿宋_GB2312"/>
              </w:rPr>
              <w:t>7</w:t>
            </w:r>
            <w:r>
              <w:rPr>
                <w:rFonts w:ascii="仿宋_GB2312" w:hAnsi="仿宋_GB2312" w:cs="仿宋_GB2312" w:eastAsia="仿宋_GB2312"/>
                <w:sz w:val="20"/>
                <w:color w:val="0000FF"/>
              </w:rPr>
              <w:t>采购人监督检查整改及时率</w:t>
            </w:r>
            <w:r>
              <w:rPr>
                <w:rFonts w:ascii="仿宋_GB2312" w:hAnsi="仿宋_GB2312" w:cs="仿宋_GB2312" w:eastAsia="仿宋_GB2312"/>
                <w:sz w:val="20"/>
                <w:color w:val="0000FF"/>
              </w:rPr>
              <w:t>100%，对采购人提出的整改要求，供应商需在规定期限内完成整改，逾期未整改或整改不到位的，按考核不合格处理。</w:t>
            </w:r>
          </w:p>
          <w:p>
            <w:pPr>
              <w:pStyle w:val="null3"/>
              <w:ind w:firstLine="367"/>
              <w:jc w:val="left"/>
            </w:pPr>
            <w:r>
              <w:rPr>
                <w:rFonts w:ascii="仿宋_GB2312" w:hAnsi="仿宋_GB2312" w:cs="仿宋_GB2312" w:eastAsia="仿宋_GB2312"/>
                <w:sz w:val="20"/>
                <w:b/>
                <w:color w:val="0000FF"/>
              </w:rPr>
              <w:t>3、保密要求：</w:t>
            </w:r>
          </w:p>
          <w:p>
            <w:pPr>
              <w:pStyle w:val="null3"/>
              <w:ind w:firstLine="367"/>
              <w:jc w:val="left"/>
            </w:pPr>
            <w:r>
              <w:rPr>
                <w:rFonts w:ascii="仿宋_GB2312" w:hAnsi="仿宋_GB2312" w:cs="仿宋_GB2312" w:eastAsia="仿宋_GB2312"/>
                <w:sz w:val="20"/>
                <w:color w:val="0000FF"/>
              </w:rPr>
              <w:t>3.1 所有与本项目有关的采购人信息,包括采购人的专有财产和保密信息，未经采购人书面同意，供应商不得向任何第三方泄露该信息。供应商承诺仅在本项目而使用，仅限供应商及本单位相关人员使用并履行本合同规定的保密义务；本项目终止时，返还给采购人或在采购人的监督下销毁；</w:t>
            </w:r>
          </w:p>
          <w:p>
            <w:pPr>
              <w:pStyle w:val="null3"/>
              <w:ind w:firstLine="367"/>
              <w:jc w:val="left"/>
            </w:pPr>
            <w:r>
              <w:rPr>
                <w:rFonts w:ascii="仿宋_GB2312" w:hAnsi="仿宋_GB2312" w:cs="仿宋_GB2312" w:eastAsia="仿宋_GB2312"/>
                <w:sz w:val="20"/>
                <w:color w:val="0000FF"/>
              </w:rPr>
              <w:t xml:space="preserve">3.2 </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履行本</w:t>
            </w:r>
            <w:r>
              <w:rPr>
                <w:rFonts w:ascii="仿宋_GB2312" w:hAnsi="仿宋_GB2312" w:cs="仿宋_GB2312" w:eastAsia="仿宋_GB2312"/>
                <w:sz w:val="20"/>
                <w:color w:val="0000FF"/>
              </w:rPr>
              <w:t>项目</w:t>
            </w:r>
            <w:r>
              <w:rPr>
                <w:rFonts w:ascii="仿宋_GB2312" w:hAnsi="仿宋_GB2312" w:cs="仿宋_GB2312" w:eastAsia="仿宋_GB2312"/>
                <w:sz w:val="20"/>
                <w:color w:val="0000FF"/>
              </w:rPr>
              <w:t>过程中所有工作成果为保密信息，</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只能将其用于本</w:t>
            </w:r>
            <w:r>
              <w:rPr>
                <w:rFonts w:ascii="仿宋_GB2312" w:hAnsi="仿宋_GB2312" w:cs="仿宋_GB2312" w:eastAsia="仿宋_GB2312"/>
                <w:sz w:val="20"/>
                <w:color w:val="0000FF"/>
              </w:rPr>
              <w:t>项目</w:t>
            </w:r>
            <w:r>
              <w:rPr>
                <w:rFonts w:ascii="仿宋_GB2312" w:hAnsi="仿宋_GB2312" w:cs="仿宋_GB2312" w:eastAsia="仿宋_GB2312"/>
                <w:sz w:val="20"/>
                <w:color w:val="0000FF"/>
              </w:rPr>
              <w:t>履行</w:t>
            </w:r>
            <w:r>
              <w:rPr>
                <w:rFonts w:ascii="仿宋_GB2312" w:hAnsi="仿宋_GB2312" w:cs="仿宋_GB2312" w:eastAsia="仿宋_GB2312"/>
                <w:sz w:val="20"/>
                <w:color w:val="0000FF"/>
              </w:rPr>
              <w:t>的</w:t>
            </w:r>
            <w:r>
              <w:rPr>
                <w:rFonts w:ascii="仿宋_GB2312" w:hAnsi="仿宋_GB2312" w:cs="仿宋_GB2312" w:eastAsia="仿宋_GB2312"/>
                <w:sz w:val="20"/>
                <w:color w:val="0000FF"/>
              </w:rPr>
              <w:t>目的，未经</w:t>
            </w:r>
            <w:r>
              <w:rPr>
                <w:rFonts w:ascii="仿宋_GB2312" w:hAnsi="仿宋_GB2312" w:cs="仿宋_GB2312" w:eastAsia="仿宋_GB2312"/>
                <w:sz w:val="20"/>
                <w:color w:val="0000FF"/>
              </w:rPr>
              <w:t>采购人</w:t>
            </w:r>
            <w:r>
              <w:rPr>
                <w:rFonts w:ascii="仿宋_GB2312" w:hAnsi="仿宋_GB2312" w:cs="仿宋_GB2312" w:eastAsia="仿宋_GB2312"/>
                <w:sz w:val="20"/>
                <w:color w:val="0000FF"/>
              </w:rPr>
              <w:t>许可，</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不得将其向任何第三方透露</w:t>
            </w:r>
            <w:r>
              <w:rPr>
                <w:rFonts w:ascii="仿宋_GB2312" w:hAnsi="仿宋_GB2312" w:cs="仿宋_GB2312" w:eastAsia="仿宋_GB2312"/>
                <w:sz w:val="20"/>
                <w:color w:val="0000FF"/>
              </w:rPr>
              <w:t>；</w:t>
            </w:r>
          </w:p>
          <w:p>
            <w:pPr>
              <w:pStyle w:val="null3"/>
              <w:ind w:firstLine="367"/>
              <w:jc w:val="left"/>
            </w:pPr>
            <w:r>
              <w:rPr>
                <w:rFonts w:ascii="仿宋_GB2312" w:hAnsi="仿宋_GB2312" w:cs="仿宋_GB2312" w:eastAsia="仿宋_GB2312"/>
                <w:sz w:val="20"/>
                <w:color w:val="0000FF"/>
              </w:rPr>
              <w:t xml:space="preserve">3.3 </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应采取一切措施</w:t>
            </w:r>
            <w:r>
              <w:rPr>
                <w:rFonts w:ascii="仿宋_GB2312" w:hAnsi="仿宋_GB2312" w:cs="仿宋_GB2312" w:eastAsia="仿宋_GB2312"/>
                <w:sz w:val="20"/>
                <w:color w:val="0000FF"/>
              </w:rPr>
              <w:t>，</w:t>
            </w:r>
            <w:r>
              <w:rPr>
                <w:rFonts w:ascii="仿宋_GB2312" w:hAnsi="仿宋_GB2312" w:cs="仿宋_GB2312" w:eastAsia="仿宋_GB2312"/>
                <w:sz w:val="20"/>
                <w:color w:val="0000FF"/>
              </w:rPr>
              <w:t>确保</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向第三方提供、泄露本</w:t>
            </w:r>
            <w:r>
              <w:rPr>
                <w:rFonts w:ascii="仿宋_GB2312" w:hAnsi="仿宋_GB2312" w:cs="仿宋_GB2312" w:eastAsia="仿宋_GB2312"/>
                <w:sz w:val="20"/>
                <w:color w:val="0000FF"/>
              </w:rPr>
              <w:t>项目</w:t>
            </w:r>
            <w:r>
              <w:rPr>
                <w:rFonts w:ascii="仿宋_GB2312" w:hAnsi="仿宋_GB2312" w:cs="仿宋_GB2312" w:eastAsia="仿宋_GB2312"/>
                <w:sz w:val="20"/>
                <w:color w:val="0000FF"/>
              </w:rPr>
              <w:t>规定的保密信息。若</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泄露了本合同规定的保密信息，</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应向</w:t>
            </w:r>
            <w:r>
              <w:rPr>
                <w:rFonts w:ascii="仿宋_GB2312" w:hAnsi="仿宋_GB2312" w:cs="仿宋_GB2312" w:eastAsia="仿宋_GB2312"/>
                <w:sz w:val="20"/>
                <w:color w:val="0000FF"/>
              </w:rPr>
              <w:t>采购人</w:t>
            </w:r>
            <w:r>
              <w:rPr>
                <w:rFonts w:ascii="仿宋_GB2312" w:hAnsi="仿宋_GB2312" w:cs="仿宋_GB2312" w:eastAsia="仿宋_GB2312"/>
                <w:sz w:val="20"/>
                <w:color w:val="0000FF"/>
              </w:rPr>
              <w:t>承担全部赔偿责任。前述赔偿责任将包括但不限于</w:t>
            </w:r>
            <w:r>
              <w:rPr>
                <w:rFonts w:ascii="仿宋_GB2312" w:hAnsi="仿宋_GB2312" w:cs="仿宋_GB2312" w:eastAsia="仿宋_GB2312"/>
                <w:sz w:val="20"/>
                <w:color w:val="0000FF"/>
              </w:rPr>
              <w:t>；</w:t>
            </w:r>
          </w:p>
          <w:p>
            <w:pPr>
              <w:pStyle w:val="null3"/>
              <w:ind w:firstLine="367"/>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1）</w:t>
            </w:r>
            <w:r>
              <w:rPr>
                <w:rFonts w:ascii="仿宋_GB2312" w:hAnsi="仿宋_GB2312" w:cs="仿宋_GB2312" w:eastAsia="仿宋_GB2312"/>
                <w:sz w:val="20"/>
                <w:color w:val="0000FF"/>
              </w:rPr>
              <w:t>泄露方所获得的全部收益</w:t>
            </w:r>
            <w:r>
              <w:rPr>
                <w:rFonts w:ascii="仿宋_GB2312" w:hAnsi="仿宋_GB2312" w:cs="仿宋_GB2312" w:eastAsia="仿宋_GB2312"/>
                <w:sz w:val="20"/>
                <w:color w:val="0000FF"/>
              </w:rPr>
              <w:t>；</w:t>
            </w:r>
          </w:p>
          <w:p>
            <w:pPr>
              <w:pStyle w:val="null3"/>
              <w:ind w:firstLine="367"/>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2）采购人</w:t>
            </w:r>
            <w:r>
              <w:rPr>
                <w:rFonts w:ascii="仿宋_GB2312" w:hAnsi="仿宋_GB2312" w:cs="仿宋_GB2312" w:eastAsia="仿宋_GB2312"/>
                <w:sz w:val="20"/>
                <w:color w:val="0000FF"/>
              </w:rPr>
              <w:t>因此所致的利润损失或因此所减少的商业收益</w:t>
            </w:r>
            <w:r>
              <w:rPr>
                <w:rFonts w:ascii="仿宋_GB2312" w:hAnsi="仿宋_GB2312" w:cs="仿宋_GB2312" w:eastAsia="仿宋_GB2312"/>
                <w:sz w:val="20"/>
                <w:color w:val="0000FF"/>
              </w:rPr>
              <w:t>；</w:t>
            </w:r>
          </w:p>
          <w:p>
            <w:pPr>
              <w:pStyle w:val="null3"/>
              <w:ind w:firstLine="367"/>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3）采购人</w:t>
            </w:r>
            <w:r>
              <w:rPr>
                <w:rFonts w:ascii="仿宋_GB2312" w:hAnsi="仿宋_GB2312" w:cs="仿宋_GB2312" w:eastAsia="仿宋_GB2312"/>
                <w:sz w:val="20"/>
                <w:color w:val="0000FF"/>
              </w:rPr>
              <w:t>因追究</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违约责任所发生的全部法律费用、律师费用等</w:t>
            </w:r>
            <w:r>
              <w:rPr>
                <w:rFonts w:ascii="仿宋_GB2312" w:hAnsi="仿宋_GB2312" w:cs="仿宋_GB2312" w:eastAsia="仿宋_GB2312"/>
                <w:sz w:val="20"/>
                <w:color w:val="0000FF"/>
              </w:rPr>
              <w:t>；</w:t>
            </w:r>
          </w:p>
          <w:p>
            <w:pPr>
              <w:pStyle w:val="null3"/>
              <w:ind w:firstLine="367"/>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4）</w:t>
            </w:r>
            <w:r>
              <w:rPr>
                <w:rFonts w:ascii="仿宋_GB2312" w:hAnsi="仿宋_GB2312" w:cs="仿宋_GB2312" w:eastAsia="仿宋_GB2312"/>
                <w:sz w:val="20"/>
                <w:color w:val="0000FF"/>
              </w:rPr>
              <w:t>本</w:t>
            </w:r>
            <w:r>
              <w:rPr>
                <w:rFonts w:ascii="仿宋_GB2312" w:hAnsi="仿宋_GB2312" w:cs="仿宋_GB2312" w:eastAsia="仿宋_GB2312"/>
                <w:sz w:val="20"/>
                <w:color w:val="0000FF"/>
              </w:rPr>
              <w:t>项目</w:t>
            </w:r>
            <w:r>
              <w:rPr>
                <w:rFonts w:ascii="仿宋_GB2312" w:hAnsi="仿宋_GB2312" w:cs="仿宋_GB2312" w:eastAsia="仿宋_GB2312"/>
                <w:sz w:val="20"/>
                <w:color w:val="0000FF"/>
              </w:rPr>
              <w:t>不论因何原因终止之后，上述保密义务继续有效，直至本</w:t>
            </w:r>
            <w:r>
              <w:rPr>
                <w:rFonts w:ascii="仿宋_GB2312" w:hAnsi="仿宋_GB2312" w:cs="仿宋_GB2312" w:eastAsia="仿宋_GB2312"/>
                <w:sz w:val="20"/>
                <w:color w:val="0000FF"/>
              </w:rPr>
              <w:t>项目</w:t>
            </w:r>
            <w:r>
              <w:rPr>
                <w:rFonts w:ascii="仿宋_GB2312" w:hAnsi="仿宋_GB2312" w:cs="仿宋_GB2312" w:eastAsia="仿宋_GB2312"/>
                <w:sz w:val="20"/>
                <w:color w:val="0000FF"/>
              </w:rPr>
              <w:t>规定的全部保密信息已通过合法途径成为社会公众所知悉的信息后终止。</w:t>
            </w:r>
          </w:p>
          <w:p>
            <w:pPr>
              <w:pStyle w:val="null3"/>
              <w:ind w:firstLine="367"/>
              <w:jc w:val="left"/>
            </w:pPr>
            <w:r>
              <w:rPr>
                <w:rFonts w:ascii="仿宋_GB2312" w:hAnsi="仿宋_GB2312" w:cs="仿宋_GB2312" w:eastAsia="仿宋_GB2312"/>
                <w:sz w:val="20"/>
                <w:b/>
                <w:color w:val="0000FF"/>
              </w:rPr>
              <w:t>4、服务成果及提交要求</w:t>
            </w:r>
          </w:p>
          <w:p>
            <w:pPr>
              <w:pStyle w:val="null3"/>
              <w:ind w:firstLine="367"/>
              <w:jc w:val="left"/>
            </w:pPr>
            <w:r>
              <w:rPr>
                <w:rFonts w:ascii="仿宋_GB2312" w:hAnsi="仿宋_GB2312" w:cs="仿宋_GB2312" w:eastAsia="仿宋_GB2312"/>
                <w:sz w:val="20"/>
                <w:color w:val="0000FF"/>
              </w:rPr>
              <w:t>供应商需按照</w:t>
            </w:r>
            <w:r>
              <w:rPr>
                <w:rFonts w:ascii="仿宋_GB2312" w:hAnsi="仿宋_GB2312" w:cs="仿宋_GB2312" w:eastAsia="仿宋_GB2312"/>
                <w:sz w:val="20"/>
                <w:color w:val="0000FF"/>
              </w:rPr>
              <w:t>采购人</w:t>
            </w:r>
            <w:r>
              <w:rPr>
                <w:rFonts w:ascii="仿宋_GB2312" w:hAnsi="仿宋_GB2312" w:cs="仿宋_GB2312" w:eastAsia="仿宋_GB2312"/>
                <w:sz w:val="20"/>
                <w:color w:val="0000FF"/>
              </w:rPr>
              <w:t>要求提交各类服务成果，确保成果完整、规范、符合要求，提交时间不得逾期。</w:t>
            </w:r>
          </w:p>
          <w:p>
            <w:pPr>
              <w:pStyle w:val="null3"/>
              <w:ind w:firstLine="367"/>
              <w:jc w:val="left"/>
            </w:pPr>
            <w:r>
              <w:rPr>
                <w:rFonts w:ascii="仿宋_GB2312" w:hAnsi="仿宋_GB2312" w:cs="仿宋_GB2312" w:eastAsia="仿宋_GB2312"/>
                <w:sz w:val="20"/>
                <w:color w:val="0000FF"/>
              </w:rPr>
              <w:t>①统计报表类：企业月度/季度/年度统计报表数据汇总表，</w:t>
            </w:r>
            <w:r>
              <w:rPr>
                <w:rFonts w:ascii="仿宋_GB2312" w:hAnsi="仿宋_GB2312" w:cs="仿宋_GB2312" w:eastAsia="仿宋_GB2312"/>
                <w:sz w:val="20"/>
                <w:color w:val="0000FF"/>
              </w:rPr>
              <w:t>每次报表期结束后</w:t>
            </w:r>
            <w:r>
              <w:rPr>
                <w:rFonts w:ascii="仿宋_GB2312" w:hAnsi="仿宋_GB2312" w:cs="仿宋_GB2312" w:eastAsia="仿宋_GB2312"/>
                <w:sz w:val="20"/>
                <w:color w:val="0000FF"/>
              </w:rPr>
              <w:t>提交。</w:t>
            </w:r>
          </w:p>
          <w:p>
            <w:pPr>
              <w:pStyle w:val="null3"/>
              <w:ind w:firstLine="367"/>
              <w:jc w:val="left"/>
            </w:pPr>
            <w:r>
              <w:rPr>
                <w:rFonts w:ascii="仿宋_GB2312" w:hAnsi="仿宋_GB2312" w:cs="仿宋_GB2312" w:eastAsia="仿宋_GB2312"/>
                <w:sz w:val="20"/>
                <w:color w:val="0000FF"/>
              </w:rPr>
              <w:t>②台账类：数据质量核查</w:t>
            </w:r>
            <w:r>
              <w:rPr>
                <w:rFonts w:ascii="仿宋_GB2312" w:hAnsi="仿宋_GB2312" w:cs="仿宋_GB2312" w:eastAsia="仿宋_GB2312"/>
                <w:sz w:val="20"/>
                <w:color w:val="0000FF"/>
              </w:rPr>
              <w:t>等工作</w:t>
            </w:r>
            <w:r>
              <w:rPr>
                <w:rFonts w:ascii="仿宋_GB2312" w:hAnsi="仿宋_GB2312" w:cs="仿宋_GB2312" w:eastAsia="仿宋_GB2312"/>
                <w:sz w:val="20"/>
                <w:color w:val="0000FF"/>
              </w:rPr>
              <w:t>台账，</w:t>
            </w:r>
            <w:r>
              <w:rPr>
                <w:rFonts w:ascii="仿宋_GB2312" w:hAnsi="仿宋_GB2312" w:cs="仿宋_GB2312" w:eastAsia="仿宋_GB2312"/>
                <w:sz w:val="20"/>
                <w:color w:val="0000FF"/>
              </w:rPr>
              <w:t>按上级工作要求及时</w:t>
            </w:r>
            <w:r>
              <w:rPr>
                <w:rFonts w:ascii="仿宋_GB2312" w:hAnsi="仿宋_GB2312" w:cs="仿宋_GB2312" w:eastAsia="仿宋_GB2312"/>
                <w:sz w:val="20"/>
                <w:color w:val="0000FF"/>
              </w:rPr>
              <w:t>提交。</w:t>
            </w:r>
          </w:p>
          <w:p>
            <w:pPr>
              <w:pStyle w:val="null3"/>
              <w:ind w:firstLine="367"/>
              <w:jc w:val="left"/>
            </w:pPr>
            <w:r>
              <w:rPr>
                <w:rFonts w:ascii="仿宋_GB2312" w:hAnsi="仿宋_GB2312" w:cs="仿宋_GB2312" w:eastAsia="仿宋_GB2312"/>
                <w:sz w:val="20"/>
                <w:color w:val="0000FF"/>
              </w:rPr>
              <w:t>③报告类：按阶段提交工作服务成果总结报告。</w:t>
            </w:r>
            <w:r>
              <w:rPr>
                <w:rFonts w:ascii="仿宋_GB2312" w:hAnsi="仿宋_GB2312" w:cs="仿宋_GB2312" w:eastAsia="仿宋_GB2312"/>
                <w:sz w:val="20"/>
                <w:color w:val="0000FF"/>
              </w:rPr>
              <w:t>服务结束后，及时</w:t>
            </w:r>
            <w:r>
              <w:rPr>
                <w:rFonts w:ascii="仿宋_GB2312" w:hAnsi="仿宋_GB2312" w:cs="仿宋_GB2312" w:eastAsia="仿宋_GB2312"/>
                <w:sz w:val="20"/>
                <w:color w:val="0000FF"/>
              </w:rPr>
              <w:t>提交项目整体工作总结报告，纸质版</w:t>
            </w:r>
            <w:r>
              <w:rPr>
                <w:rFonts w:ascii="仿宋_GB2312" w:hAnsi="仿宋_GB2312" w:cs="仿宋_GB2312" w:eastAsia="仿宋_GB2312"/>
                <w:sz w:val="20"/>
                <w:color w:val="0000FF"/>
              </w:rPr>
              <w:t>1份+电子版1份。</w:t>
            </w:r>
          </w:p>
          <w:p>
            <w:pPr>
              <w:pStyle w:val="null3"/>
            </w:pPr>
            <w:r>
              <w:rPr>
                <w:rFonts w:ascii="仿宋_GB2312" w:hAnsi="仿宋_GB2312" w:cs="仿宋_GB2312" w:eastAsia="仿宋_GB2312"/>
                <w:sz w:val="20"/>
                <w:color w:val="0000FF"/>
              </w:rPr>
              <w:t>④培训类：</w:t>
            </w:r>
            <w:r>
              <w:rPr>
                <w:rFonts w:ascii="仿宋_GB2312" w:hAnsi="仿宋_GB2312" w:cs="仿宋_GB2312" w:eastAsia="仿宋_GB2312"/>
                <w:sz w:val="20"/>
                <w:color w:val="0000FF"/>
              </w:rPr>
              <w:t>按工作要求及时开展培训工作，</w:t>
            </w:r>
            <w:r>
              <w:rPr>
                <w:rFonts w:ascii="仿宋_GB2312" w:hAnsi="仿宋_GB2312" w:cs="仿宋_GB2312" w:eastAsia="仿宋_GB2312"/>
                <w:sz w:val="20"/>
                <w:color w:val="0000FF"/>
              </w:rPr>
              <w:t>培训结束后</w:t>
            </w:r>
            <w:r>
              <w:rPr>
                <w:rFonts w:ascii="仿宋_GB2312" w:hAnsi="仿宋_GB2312" w:cs="仿宋_GB2312" w:eastAsia="仿宋_GB2312"/>
                <w:sz w:val="20"/>
                <w:color w:val="0000FF"/>
              </w:rPr>
              <w:t>5</w:t>
            </w:r>
            <w:r>
              <w:rPr>
                <w:rFonts w:ascii="仿宋_GB2312" w:hAnsi="仿宋_GB2312" w:cs="仿宋_GB2312" w:eastAsia="仿宋_GB2312"/>
                <w:sz w:val="20"/>
                <w:color w:val="0000FF"/>
              </w:rPr>
              <w:t>个工作日内提交签到表</w:t>
            </w:r>
            <w:r>
              <w:rPr>
                <w:rFonts w:ascii="仿宋_GB2312" w:hAnsi="仿宋_GB2312" w:cs="仿宋_GB2312" w:eastAsia="仿宋_GB2312"/>
                <w:sz w:val="20"/>
                <w:color w:val="0000FF"/>
              </w:rPr>
              <w:t>等</w:t>
            </w:r>
            <w:r>
              <w:rPr>
                <w:rFonts w:ascii="仿宋_GB2312" w:hAnsi="仿宋_GB2312" w:cs="仿宋_GB2312" w:eastAsia="仿宋_GB2312"/>
                <w:sz w:val="20"/>
                <w:color w:val="0000FF"/>
              </w:rPr>
              <w:t>培训</w:t>
            </w:r>
            <w:r>
              <w:rPr>
                <w:rFonts w:ascii="仿宋_GB2312" w:hAnsi="仿宋_GB2312" w:cs="仿宋_GB2312" w:eastAsia="仿宋_GB2312"/>
                <w:sz w:val="20"/>
                <w:color w:val="0000FF"/>
              </w:rPr>
              <w:t>相关</w:t>
            </w:r>
            <w:r>
              <w:rPr>
                <w:rFonts w:ascii="仿宋_GB2312" w:hAnsi="仿宋_GB2312" w:cs="仿宋_GB2312" w:eastAsia="仿宋_GB2312"/>
                <w:sz w:val="20"/>
                <w:color w:val="0000FF"/>
              </w:rPr>
              <w:t>资料纸质版</w:t>
            </w:r>
            <w:r>
              <w:rPr>
                <w:rFonts w:ascii="仿宋_GB2312" w:hAnsi="仿宋_GB2312" w:cs="仿宋_GB2312" w:eastAsia="仿宋_GB2312"/>
                <w:sz w:val="20"/>
                <w:color w:val="0000FF"/>
              </w:rPr>
              <w:t>1份+电子版1份。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设置1名项目经理：具备丰富的经验，良好的沟通协调能力和团队合作精神，能够高效协同工作，确保项目有序运行； 项目团队建立完善：供应商应为本项目配备不少于14名具备统计相关专业能力或者有从事相关工作经验、大学本科及以上学历的技术人员，服从采购人管理。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本项目使用办公设施设备均由采购人提供。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最终报价如出现异常低价，执行财库〔2026〕2号《关于推动解决政府采购异常低价问题的通知》，磋商小组可在最后报价审查表中审核是否通过审查。</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人要求执行，根据所服务的内容并按照所对应的法律法规、规范标准、技术规程等实施，在实施过程中，如果国家或有关部门颁布了新的技术标准或规范，则供应商应采用新的标准或规范进行实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第一期付款，项目团队按要求组织开展第一阶段专业统计工作、企业统计工作培训及其他统计工作交办事项，经甲方确认后，支付合同总金额50%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第二期付款，项目团队按要求组织开展第二阶段专业统计工作，并开展数据质量核查，及完成其他统计工作交办事项，经甲方确认后，支付至合同总金额75%</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第三期付款，项目团队按要求组织开展第三阶段专业统计工作、数据汇总整理、新增企业纳统及其他统计调查工作交办事项，经甲方验收合格后，付至合同总金额100%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二、供应商的磋商报价是供应商响应磋商项目要求的全部工作内容的价格体现，包括供应商完成本项目所需的直接费、间接费、利润、税金及其他相关的一切费用。包括但不限于：人工费（含统计数据收集、整理、汇总、审核，普查调查执行，企业对接、催报、咨询，培训组织等相关人员薪酬）、设备费、管理费、验收费、采购代理服务费、利润和税金、其他费用等全部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2.在磋商有效期内，供应商撤销响应文件的，应承担磋商文件和法律规定的责任。3.成交供应商的磋商有效期自动延长至合同终止为止。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九、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注：本项目资格审查小组，由1名采购人代表和2名采购代理机构工作人员组成，采购代理机构项目经理担任资格审查小组组长，资格审查小组成立后，全体小组成员应当在签到表中签到。</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提供2024年度或2025年度经审计的财务会计报告或其提交响应文件截止时间前3个月内银行出具的资信证明。（以上形式的资料提供任何一种即可）。 （1）供应商是企业法人的，应提供2024或2025全年度经审计的供应商财务报告，包括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供应商是小型企业的，应提供2024或2025全年度经审计的供应商财务报告，至少包括 《资产负债表》《利润表》《现金流量表》及其附注，或者提交响应文件截止时间前3个月内其基本账户开户银行出具的资信证明（附基本存款账户信息）；财政部关于印发《小企业会计准则》的通知（财会〔2011〕17号）； （2）供应商是事业单位法人的，应提供2024或2025全年度经审计的供应商财务报告，至少包括《资产负债表》《收入支出表或者收入费用表》《财政补助收入支出表》及其附注，或者提交响应文件截止时间前3个月内其基本账户开户银行出具的资信证明（附基本存款账户信息）； （3）部分其他组织和自然人，提供提交响应文件截止时间前3个月内银行出具的资信证明（附账户信息）； （4）供应商是民办非企业单位的，应提供2024或2025全年度经审计的供应商财务报告，包括《资产负债表》《业务活动表》《现金流量表》及其附注或者提交响应文件截止时间前3个月内银行出具的资信证明（附账户信息）； （5）供应商成立不到1年（至提交响应文件截止时间）的，提供成立后任意时段的资产负债表，或提交响应文件截止时间前3个月内其基本账户开户银行出具的资信证明（附基本存款账户信息）。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合同包1(2026年统计工作辅助服务项目)特定资格要求如下:</w:t>
            </w:r>
          </w:p>
        </w:tc>
        <w:tc>
          <w:tcPr>
            <w:tcW w:type="dxa" w:w="3322"/>
          </w:tcPr>
          <w:p>
            <w:pPr>
              <w:pStyle w:val="null3"/>
            </w:pPr>
            <w:r>
              <w:rPr>
                <w:rFonts w:ascii="仿宋_GB2312" w:hAnsi="仿宋_GB2312" w:cs="仿宋_GB2312" w:eastAsia="仿宋_GB2312"/>
              </w:rPr>
              <w:t>(1)供应商的营业执照等证明文件，自然人的身份证明； (2)法定代表人（单位负责人）参加磋商的，提供本人身份证复印件；法定代表人（单位负责人）授权他人参加磋商的，提供法定代表人（单位负责人）委托授权书并出示被授权代表的身份证复印件以及2025年1月至今任意时段在本单位注册的已缴纳的社会保障资金缴存单据或社保机构开具的社会保险参保缴费情况证明； (3)提供2024年度或2025年度经审计的财务会计报告或其提交响应文件截止时间前3个月内银行出具的资信证明。 (4)提供供应商2025年1月至今已缴纳任意时段任意税种完税凭证或税务机关开具的完税证明（除个人所得税外，税法规定的任意税种）；依法免税的应提供相关文件证明； (5)提供供应商2025年1月至今任意时段已缴纳的社会保障资金缴存单据或社保机构开具的社会保险参保缴费情况证明；依法不需要缴纳社会保障资金的应提供相关文件证明； (6)具备履行合同所必需的设备和专业技术能力的证明； (7)参加本次磋商前3年内，在经营活动中没有重大违法记录的书面声明； (8)采购代理机构将于本项目响应文件递交截止日，在 “信用中国”“中国政府采购网” 对投标人进行信用记录查询。对列入重大税收违法失信主体名单、或处于政府采购严重违法失信行为信息记录中禁止参加政府采购活动期间的供应商，将拒绝其参与本次政府采购活动； (9)单位负责人为同一人或者存在直接控股、管理关系的不同供应商，不得参加同一合同项下的采购活动 (10)本项目不接受联合体磋商。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商务技术部分.docx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响应文件封面 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资格证明部分.docx 商务技术部分.docx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资格证明部分.docx 商务技术部分.docx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应符合磋商文件实质性要求的规定</w:t>
            </w:r>
          </w:p>
        </w:tc>
        <w:tc>
          <w:tcPr>
            <w:tcW w:type="dxa" w:w="1661"/>
          </w:tcPr>
          <w:p>
            <w:pPr>
              <w:pStyle w:val="null3"/>
            </w:pPr>
            <w:r>
              <w:rPr>
                <w:rFonts w:ascii="仿宋_GB2312" w:hAnsi="仿宋_GB2312" w:cs="仿宋_GB2312" w:eastAsia="仿宋_GB2312"/>
              </w:rPr>
              <w:t>响应文件封面 资格证明部分.docx 商务技术部分.docx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资格证明部分.docx 商务技术部分.docx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业绩（10分）： 具有2021年1月1日至今的类似统计工作服务业绩(以合同签订日期为准)，业绩以合同复印件为依据。每个业绩计2.5分，4个以上(含4个)计10分。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统计基础工作服务方案</w:t>
            </w:r>
          </w:p>
        </w:tc>
        <w:tc>
          <w:tcPr>
            <w:tcW w:type="dxa" w:w="2492"/>
          </w:tcPr>
          <w:p>
            <w:pPr>
              <w:pStyle w:val="null3"/>
            </w:pPr>
            <w:r>
              <w:rPr>
                <w:rFonts w:ascii="仿宋_GB2312" w:hAnsi="仿宋_GB2312" w:cs="仿宋_GB2312" w:eastAsia="仿宋_GB2312"/>
              </w:rPr>
              <w:t>统计基础工作服务方案（12分）： 一评审内容、 供应商针对本项目提供的统计基础工作服务方案，包括但不限于： ①经济与社会统计工作：协助采购人开展辖区内经济、社会、部门各类统计工作，负责统计数据的收集、整理、汇总，配合做好统计工作的统筹协调、流程规范，确保各项统计工作有序推进、衔接顺畅，符合上级统计部门工作要求采购人指派专人对接此项工作，对统计数据的真实性、合规性进行最终审核把关，供应商需配合采购人完成数据核验、流程确认等工作，不得擅自决定统计工作核心事项。 ②专业统计推进工作：负责辖区内统计专业“五上”单位和“五下”单位的月度、季度、年度统计报表的催报、审核工作。及时传达上级统计工作要求、政策调整及报表规范，确保各专业企业统计工作的各项指标填报规范、数据准确。及时提醒督促企业按时报送报表，对企业报送的统计数据进行初步审核，排查数据异常、逻辑错误等情况，及时反馈企业修正，确保报表报送及时率达到考核标准。供应商需根据工作进度定期向采购人汇报工作进展，采购人对催报效率、审核质量进行定期检查，对未达标的情况责令供应商限期整改。 ③统计检查与督察配合：配合上级及本区开展“双随机、一公开”等各类统计检查、督察工作，按要求整理、汇总督察检查相关资料、台账及佐证材料，协助落实督察检查提出的整改意见，跟踪整改进度，完成整改资料的整理、上报工作，确保检查督察工作顺利推进，整改事项闭环落实。 ④新增企业统计服务：更新和维护基本单位名录库信息数据，负责新增企业纳统资料的收集、录入、审核等工作，确保新增企业及时纳统，达到考核标准。对接辖区内新增企业，为企业提供统计工作指导、业务培训等服务，指导企业完成统计报表填报、指标解读等相关工作，组织企业统计人员开展专项业务培训，提升企业统计人员的专业能力，确保新增企业及时纳入统计范围、规范开展统计工作； 二、评审标准 1、完善性：方案必须全面，对评审内容中的各项要求有详细阐述， 2、可实施性：切合本项目实际情况，提出步骤清晰、合理的方案； 3、针对性：方案能够紧扣项目实际情况，内容合理，可满足采购人需求。 三、赋分依据（满分12分） 根据评审内容中①至④项：每完全满足一个评审标准得1分，每项提供不全或存在缺失、不完整、表述模糊、前后矛盾、不符合常规要求得0.5分，单项满分3分，未提供得0分。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考核指标达成方案</w:t>
            </w:r>
          </w:p>
        </w:tc>
        <w:tc>
          <w:tcPr>
            <w:tcW w:type="dxa" w:w="2492"/>
          </w:tcPr>
          <w:p>
            <w:pPr>
              <w:pStyle w:val="null3"/>
            </w:pPr>
            <w:r>
              <w:rPr>
                <w:rFonts w:ascii="仿宋_GB2312" w:hAnsi="仿宋_GB2312" w:cs="仿宋_GB2312" w:eastAsia="仿宋_GB2312"/>
              </w:rPr>
              <w:t>考核指标达成方案（21分）： 一评审内容、 供应商针对本项目提供的考核指标达成方案，包括但不限于： ① 报表催报及时率≥98%； ② 新增企业纳统资料收集、录入、审核及时率100%； ③ 新增企业统计指导、培训覆盖率100%； ④ 数据质量核查问题整改闭环率100%； ⑤ 上级及本区各类检查督察资料整理、上报及时率100%，无遗漏、无差错； ⑥ 工作计划、工作总结提交及时率100%，内容完整、符合采购人要求； ⑦采购人监督检查整改及时率100%，对采购人提出的整改要求，供应商需在规定期限内完成整改，逾期未整改或整改不到位的，按考核不合格处理。 三、评审标准 1、完善性：方案必须全面，对评审内容中的各项要求有详细阐述； 2、可实施性：切合本项目实际情况，提出步骤清晰、合理的方案； 3、针对性：方案能够紧扣项目实际情况，内容合理，可满足采购人需求。 三、赋分依据（满分21分） 根据评审内容中①至⑦项：每完全满足一个评审标准得1分，每项提供不全或存在缺失、不完整、表述模糊、前后矛盾、不符合常规要求得0.5分，单项满分3分，未提供得0分。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数据管理与分析方案</w:t>
            </w:r>
          </w:p>
        </w:tc>
        <w:tc>
          <w:tcPr>
            <w:tcW w:type="dxa" w:w="2492"/>
          </w:tcPr>
          <w:p>
            <w:pPr>
              <w:pStyle w:val="null3"/>
            </w:pPr>
            <w:r>
              <w:rPr>
                <w:rFonts w:ascii="仿宋_GB2312" w:hAnsi="仿宋_GB2312" w:cs="仿宋_GB2312" w:eastAsia="仿宋_GB2312"/>
              </w:rPr>
              <w:t>数据管理与分析方案（6分）： 一评审内容、 供应商针对本项目提供的数据管理与分析方案，包括但不限于： ①开展月度、季度、年度统计数据汇总、整理、分析工作，结合辖区经济社会发展实际，形成基础数据汇总报表报告，为采购人决策提供数据支撑。数据汇总报表及分析报告需经采购人审核，采购人可根据工作需要提出修改意见，供应商需配合完善，确保数据支撑的科学性、准确性。 ②开展统计数据质量核查工作，定期对西安浐灞国际港内企业统计数据进行抽查核查，排查数据造假、错报、漏报等问题，建立数据质量核查台账，提出整改建议并跟踪落实； 四、评审标准 1、完善性：方案必须全面，对评审内容中的各项要求有详细阐述； 2、可实施性：切合本项目实际情况，提出步骤清晰、合理的方案； 3、针对性：方案能够紧扣项目实际情况，内容合理，可满足采购人需求。 三、赋分依据（满分6分） 根据评审内容中①至②项：每完全满足一个评审标准得1分，每项提供不全或存在缺失、不完整、表述模糊、前后矛盾、不符合常规要求得0.5分，单项满分3分，未提供得0分。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基础管理工作方案</w:t>
            </w:r>
          </w:p>
        </w:tc>
        <w:tc>
          <w:tcPr>
            <w:tcW w:type="dxa" w:w="2492"/>
          </w:tcPr>
          <w:p>
            <w:pPr>
              <w:pStyle w:val="null3"/>
            </w:pPr>
            <w:r>
              <w:rPr>
                <w:rFonts w:ascii="仿宋_GB2312" w:hAnsi="仿宋_GB2312" w:cs="仿宋_GB2312" w:eastAsia="仿宋_GB2312"/>
              </w:rPr>
              <w:t>基础管理工作方案（9分）： 一评审内容、 供应商针对本项目提供的基础管理工作方案，包括但不限于： ①工作台账管理：建立健全各类统计工作台账，确保各项工作可追溯、可核查，台账规范、完整、清晰。所有工作台账需定期提交采购人审核，采购人有权查阅、复制相关台账，供应商需予以配合，不得隐瞒、篡改台账信息。 ②计划与总结管理：按照采购人的工作要求，按阶段提交工作计划和服务成果总结报告，明确工作重点、完成情况及下一步工作安排，确保工作有序推进、有据可查。 ③监督配合工作：严格按照采购人的工作要求、时间节点开展各项服务工作，主动接受采购人的监督检查、考核评估，及时整改工作中存在的问题，提升服务质量； 五、评审标准 1、完善性：方案必须全面，对评审内容中的各项要求有详细阐述； 2、可实施性：切合本项目实际情况，提出步骤清晰、合理的方案； 3、针对性：方案能够紧扣项目实际情况，内容合理，可满足采购人需求。 三、赋分依据（满分9分） 根据评审内容中①至③项：每完全满足一个评审标准得1分，每项提供不全或存在缺失、不完整、表述模糊、前后矛盾、不符合常规要求得0.5分，单项满分3分，未提供得0分。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人员分配方案</w:t>
            </w:r>
          </w:p>
        </w:tc>
        <w:tc>
          <w:tcPr>
            <w:tcW w:type="dxa" w:w="2492"/>
          </w:tcPr>
          <w:p>
            <w:pPr>
              <w:pStyle w:val="null3"/>
            </w:pPr>
            <w:r>
              <w:rPr>
                <w:rFonts w:ascii="仿宋_GB2312" w:hAnsi="仿宋_GB2312" w:cs="仿宋_GB2312" w:eastAsia="仿宋_GB2312"/>
              </w:rPr>
              <w:t>人员分配方案（满分6分） ： 1、人员安排合理，明确设置1名经验丰富、沟通协调能力强的项目经理，配备不少于14名具备统计相关专业能力或者有从事相关工作经验、大学本科及以上学历的技术人员，团队架构完善，岗位职责清晰，描述清晰且针对性满足项目需求的得6； 2、方案合理，但陈述简单，缺乏针对性的得4分； 3、方案笼统，但基本满足采购需求的得2分； 4、方案缺失严重，或未结合项目情况进行论述得1分； 5、未提供得0分。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针对本项目有详细的服务承诺</w:t>
            </w:r>
          </w:p>
        </w:tc>
        <w:tc>
          <w:tcPr>
            <w:tcW w:type="dxa" w:w="2492"/>
          </w:tcPr>
          <w:p>
            <w:pPr>
              <w:pStyle w:val="null3"/>
            </w:pPr>
            <w:r>
              <w:rPr>
                <w:rFonts w:ascii="仿宋_GB2312" w:hAnsi="仿宋_GB2312" w:cs="仿宋_GB2312" w:eastAsia="仿宋_GB2312"/>
              </w:rPr>
              <w:t>针对本项目有详细的服务承诺：（满分6分）： 建立完善的技术支持体系，在合同履行过程中为采购人提供的服务质量及对后期的技术指导等方面作出书面承诺： 1、服务承诺合理，描述清晰，且能针对性满足项目需求的得6分； 2、服务承诺合理，但陈述简单，缺乏针对性的得4分； 3、方案笼统，但基本满足采购需求的得2分； 4、服务承诺笼统的得1分； 5、未提供得0分。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保密措施（满分6分）： 针对本项目统计数据、采购人信息等保密要求制定完善的保密措施 1、保密措施合理，描述清晰，且能针对性满足项目需求的得6分； 2、保密措施合理，但陈述简单，缺乏针对性的得4分； 3、方案笼统，但基本满足采购需求的得2分； 4、保密措施笼统的得1分； 5、未提供得0分。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针对本项目的服务成果提交方案</w:t>
            </w:r>
          </w:p>
        </w:tc>
        <w:tc>
          <w:tcPr>
            <w:tcW w:type="dxa" w:w="2492"/>
          </w:tcPr>
          <w:p>
            <w:pPr>
              <w:pStyle w:val="null3"/>
            </w:pPr>
            <w:r>
              <w:rPr>
                <w:rFonts w:ascii="仿宋_GB2312" w:hAnsi="仿宋_GB2312" w:cs="仿宋_GB2312" w:eastAsia="仿宋_GB2312"/>
              </w:rPr>
              <w:t>针对本项目的服务成果提交方案（满分6分） 结合本项目服务成果要求，供应商应提供完善的服务成果提交方案，阐述成果提交的时间、份数、格式、流程及归档管理等事宜： 1、阐述内容详尽具体，实施细节及措施合理完善，针对性、可实施性强，完全满足采购成果提交要求的得6分；2、虽进行了阐述，但内容不够详尽具体，或针对性不够强，总体上满足采购需求，细节待完善的得4分； 2、虽进行了阐述，但内容有所缺失，或实施细节不合理，或缺乏针对性、可实施性的得2分； 3、虽进行了阐述，但内容缺失严重，或未结合项目成果要求进行论述的得1分； 5、未提供得0分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设施设备使用与维护方案</w:t>
            </w:r>
          </w:p>
        </w:tc>
        <w:tc>
          <w:tcPr>
            <w:tcW w:type="dxa" w:w="2492"/>
          </w:tcPr>
          <w:p>
            <w:pPr>
              <w:pStyle w:val="null3"/>
            </w:pPr>
            <w:r>
              <w:rPr>
                <w:rFonts w:ascii="仿宋_GB2312" w:hAnsi="仿宋_GB2312" w:cs="仿宋_GB2312" w:eastAsia="仿宋_GB2312"/>
              </w:rPr>
              <w:t>针对本项目的设施设备使用与维护方案（满分3分） 针对采购人提供的办公设施设备，提供完善的使用、维护，包括但不限于：规范使用甲方提供的各类办公设施设备，严格遵守设备操作规范；定期对设备进行日常检查、清洁与简易维护，及时发现设备异常并反馈甲方；妥善保管设备及配件，杜绝恶意损坏、擅自拆卸、转借等行为，确保设备完好无损、正常投入使用。 1、设施设备使用与维护方案合理，描述清晰，且能针对性满足项目需求的得3分； 2、设施设备使用与维护方案合理，但陈述简单，缺乏针对性的得2分； 3、设施设备使用与维护方案笼统，但基本满足采购需求的得1分； 4、未提供得0分。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