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D6D6E">
      <w:pPr>
        <w:pStyle w:val="2"/>
        <w:numPr>
          <w:ilvl w:val="0"/>
          <w:numId w:val="0"/>
        </w:numPr>
        <w:jc w:val="center"/>
        <w:rPr>
          <w:rFonts w:hint="eastAsia" w:asciiTheme="majorEastAsia" w:hAnsiTheme="majorEastAsia" w:eastAsiaTheme="majorEastAsia" w:cstheme="majorEastAsia"/>
          <w:b/>
          <w:bCs/>
          <w:color w:val="auto"/>
          <w:sz w:val="32"/>
          <w:szCs w:val="32"/>
          <w:highlight w:val="none"/>
        </w:rPr>
      </w:pPr>
      <w:r>
        <w:rPr>
          <w:rFonts w:hint="eastAsia" w:asciiTheme="majorEastAsia" w:hAnsiTheme="majorEastAsia" w:eastAsiaTheme="majorEastAsia" w:cstheme="majorEastAsia"/>
          <w:b/>
          <w:bCs/>
          <w:color w:val="auto"/>
          <w:sz w:val="32"/>
          <w:szCs w:val="32"/>
          <w:highlight w:val="none"/>
        </w:rPr>
        <w:t>拟签订的合同</w:t>
      </w:r>
      <w:bookmarkStart w:id="0" w:name="_Hlt487972895"/>
      <w:bookmarkEnd w:id="0"/>
      <w:bookmarkStart w:id="1" w:name="_Toc487900382"/>
      <w:bookmarkStart w:id="2" w:name="_Toc216513788"/>
      <w:r>
        <w:rPr>
          <w:rFonts w:hint="eastAsia" w:asciiTheme="majorEastAsia" w:hAnsiTheme="majorEastAsia" w:eastAsiaTheme="majorEastAsia" w:cstheme="majorEastAsia"/>
          <w:b/>
          <w:bCs/>
          <w:color w:val="auto"/>
          <w:sz w:val="32"/>
          <w:szCs w:val="32"/>
          <w:highlight w:val="none"/>
        </w:rPr>
        <w:t>文本</w:t>
      </w:r>
      <w:bookmarkEnd w:id="1"/>
      <w:bookmarkEnd w:id="2"/>
    </w:p>
    <w:p w14:paraId="2B987406">
      <w:pPr>
        <w:rPr>
          <w:rFonts w:hint="eastAsia" w:asciiTheme="majorEastAsia" w:hAnsiTheme="majorEastAsia" w:eastAsiaTheme="majorEastAsia" w:cstheme="majorEastAsia"/>
          <w:color w:val="auto"/>
          <w:highlight w:val="none"/>
          <w:lang w:val="zh-CN"/>
        </w:rPr>
      </w:pPr>
    </w:p>
    <w:p w14:paraId="05F2C279">
      <w:pPr>
        <w:pStyle w:val="3"/>
        <w:rPr>
          <w:rFonts w:hint="eastAsia" w:asciiTheme="majorEastAsia" w:hAnsiTheme="majorEastAsia" w:eastAsiaTheme="majorEastAsia" w:cstheme="majorEastAsia"/>
          <w:color w:val="auto"/>
          <w:highlight w:val="none"/>
          <w:lang w:val="zh-CN"/>
        </w:rPr>
      </w:pPr>
    </w:p>
    <w:p w14:paraId="6D0C2DED">
      <w:pPr>
        <w:pStyle w:val="4"/>
        <w:rPr>
          <w:rFonts w:hint="eastAsia" w:asciiTheme="majorEastAsia" w:hAnsiTheme="majorEastAsia" w:eastAsiaTheme="majorEastAsia" w:cstheme="majorEastAsia"/>
          <w:color w:val="auto"/>
          <w:highlight w:val="none"/>
          <w:lang w:val="zh-CN"/>
        </w:rPr>
      </w:pPr>
    </w:p>
    <w:p w14:paraId="3C48BC9B">
      <w:pPr>
        <w:pStyle w:val="4"/>
        <w:rPr>
          <w:rFonts w:hint="eastAsia" w:asciiTheme="majorEastAsia" w:hAnsiTheme="majorEastAsia" w:eastAsiaTheme="majorEastAsia" w:cstheme="majorEastAsia"/>
          <w:color w:val="auto"/>
          <w:highlight w:val="none"/>
          <w:lang w:val="zh-CN"/>
        </w:rPr>
      </w:pPr>
    </w:p>
    <w:p w14:paraId="49DB0D39">
      <w:pPr>
        <w:pStyle w:val="4"/>
        <w:rPr>
          <w:rFonts w:hint="eastAsia" w:asciiTheme="majorEastAsia" w:hAnsiTheme="majorEastAsia" w:eastAsiaTheme="majorEastAsia" w:cstheme="majorEastAsia"/>
          <w:color w:val="auto"/>
          <w:highlight w:val="none"/>
          <w:lang w:val="zh-CN"/>
        </w:rPr>
      </w:pPr>
    </w:p>
    <w:p w14:paraId="3C8DDE6E">
      <w:pPr>
        <w:rPr>
          <w:rFonts w:hint="eastAsia" w:asciiTheme="majorEastAsia" w:hAnsiTheme="majorEastAsia" w:eastAsiaTheme="majorEastAsia" w:cstheme="majorEastAsia"/>
          <w:b/>
          <w:bCs/>
          <w:color w:val="auto"/>
          <w:sz w:val="36"/>
          <w:szCs w:val="36"/>
          <w:highlight w:val="none"/>
          <w:lang w:val="zh-CN"/>
        </w:rPr>
      </w:pPr>
    </w:p>
    <w:p w14:paraId="6AE3A73C">
      <w:pPr>
        <w:pStyle w:val="3"/>
        <w:tabs>
          <w:tab w:val="left" w:pos="567"/>
        </w:tabs>
        <w:jc w:val="center"/>
        <w:rPr>
          <w:rFonts w:hint="eastAsia" w:asciiTheme="majorEastAsia" w:hAnsiTheme="majorEastAsia" w:eastAsiaTheme="majorEastAsia" w:cstheme="majorEastAsia"/>
          <w:b/>
          <w:bCs/>
          <w:color w:val="auto"/>
          <w:sz w:val="36"/>
          <w:szCs w:val="36"/>
          <w:highlight w:val="none"/>
          <w:lang w:eastAsia="zh-CN"/>
        </w:rPr>
      </w:pPr>
      <w:r>
        <w:rPr>
          <w:rFonts w:hint="eastAsia" w:asciiTheme="majorEastAsia" w:hAnsiTheme="majorEastAsia" w:eastAsiaTheme="majorEastAsia" w:cstheme="majorEastAsia"/>
          <w:b/>
          <w:bCs/>
          <w:color w:val="auto"/>
          <w:sz w:val="36"/>
          <w:szCs w:val="36"/>
          <w:highlight w:val="none"/>
          <w:lang w:eastAsia="zh-CN"/>
        </w:rPr>
        <w:t>2026年统计工作辅助服务项目</w:t>
      </w:r>
    </w:p>
    <w:p w14:paraId="008260E3">
      <w:pPr>
        <w:jc w:val="center"/>
        <w:rPr>
          <w:rFonts w:hint="eastAsia" w:asciiTheme="majorEastAsia" w:hAnsiTheme="majorEastAsia" w:eastAsiaTheme="majorEastAsia" w:cstheme="majorEastAsia"/>
          <w:b/>
          <w:color w:val="auto"/>
          <w:sz w:val="52"/>
          <w:szCs w:val="52"/>
          <w:highlight w:val="none"/>
        </w:rPr>
      </w:pPr>
    </w:p>
    <w:p w14:paraId="3325610C">
      <w:pPr>
        <w:rPr>
          <w:rFonts w:hint="eastAsia" w:asciiTheme="majorEastAsia" w:hAnsiTheme="majorEastAsia" w:eastAsiaTheme="majorEastAsia" w:cstheme="majorEastAsia"/>
          <w:color w:val="auto"/>
          <w:highlight w:val="none"/>
        </w:rPr>
      </w:pPr>
    </w:p>
    <w:p w14:paraId="260A2E44">
      <w:pPr>
        <w:shd w:val="clear" w:color="auto" w:fill="auto"/>
        <w:spacing w:line="360" w:lineRule="auto"/>
        <w:jc w:val="center"/>
        <w:rPr>
          <w:rFonts w:hint="eastAsia" w:ascii="宋体" w:hAnsi="宋体" w:eastAsia="宋体" w:cs="宋体"/>
          <w:b/>
          <w:spacing w:val="-20"/>
          <w:sz w:val="48"/>
          <w:szCs w:val="48"/>
          <w:highlight w:val="none"/>
        </w:rPr>
      </w:pPr>
      <w:r>
        <w:rPr>
          <w:rFonts w:hint="eastAsia" w:ascii="宋体" w:hAnsi="宋体" w:eastAsia="宋体" w:cs="宋体"/>
          <w:b/>
          <w:spacing w:val="-20"/>
          <w:sz w:val="48"/>
          <w:szCs w:val="48"/>
          <w:highlight w:val="none"/>
        </w:rPr>
        <w:t>合 同 主 要 条 款</w:t>
      </w:r>
    </w:p>
    <w:p w14:paraId="0BE675AF">
      <w:pPr>
        <w:shd w:val="clear" w:color="auto" w:fill="auto"/>
        <w:spacing w:line="540" w:lineRule="exact"/>
        <w:jc w:val="center"/>
        <w:rPr>
          <w:rFonts w:hint="eastAsia" w:ascii="宋体" w:hAnsi="宋体" w:eastAsia="宋体" w:cs="宋体"/>
          <w:b/>
          <w:kern w:val="0"/>
          <w:sz w:val="52"/>
          <w:szCs w:val="52"/>
          <w:highlight w:val="none"/>
        </w:rPr>
      </w:pPr>
      <w:r>
        <w:rPr>
          <w:rFonts w:hint="eastAsia" w:ascii="宋体" w:hAnsi="宋体" w:eastAsia="宋体" w:cs="宋体"/>
          <w:b/>
          <w:kern w:val="0"/>
          <w:szCs w:val="21"/>
          <w:highlight w:val="none"/>
        </w:rPr>
        <w:t>（本格式条款供双方签订合同参考，采购人可根据项目的实际情况增加条款和内容）</w:t>
      </w:r>
    </w:p>
    <w:p w14:paraId="2B2C3A88">
      <w:pPr>
        <w:shd w:val="clear" w:color="auto" w:fill="auto"/>
        <w:spacing w:line="560" w:lineRule="exact"/>
        <w:jc w:val="center"/>
        <w:rPr>
          <w:rFonts w:hint="eastAsia" w:ascii="宋体" w:hAnsi="宋体" w:eastAsia="宋体" w:cs="宋体"/>
          <w:b/>
          <w:kern w:val="0"/>
          <w:sz w:val="36"/>
          <w:szCs w:val="36"/>
          <w:highlight w:val="none"/>
        </w:rPr>
      </w:pPr>
    </w:p>
    <w:p w14:paraId="6ACD461B">
      <w:pPr>
        <w:shd w:val="clear" w:color="auto" w:fill="auto"/>
        <w:spacing w:line="560" w:lineRule="exact"/>
        <w:jc w:val="center"/>
        <w:rPr>
          <w:rFonts w:hint="eastAsia" w:ascii="宋体" w:hAnsi="宋体" w:eastAsia="宋体" w:cs="宋体"/>
          <w:b/>
          <w:kern w:val="0"/>
          <w:sz w:val="36"/>
          <w:szCs w:val="36"/>
          <w:highlight w:val="none"/>
        </w:rPr>
      </w:pPr>
      <w:r>
        <w:rPr>
          <w:rFonts w:hint="eastAsia" w:ascii="宋体" w:hAnsi="宋体" w:eastAsia="宋体" w:cs="宋体"/>
          <w:b/>
          <w:kern w:val="0"/>
          <w:sz w:val="36"/>
          <w:szCs w:val="36"/>
          <w:highlight w:val="none"/>
        </w:rPr>
        <w:t>合同编号：XXXX</w:t>
      </w:r>
    </w:p>
    <w:p w14:paraId="3F473B7C">
      <w:pPr>
        <w:jc w:val="center"/>
        <w:rPr>
          <w:rFonts w:hint="eastAsia" w:asciiTheme="majorEastAsia" w:hAnsiTheme="majorEastAsia" w:eastAsiaTheme="majorEastAsia" w:cstheme="majorEastAsia"/>
          <w:b/>
          <w:color w:val="auto"/>
          <w:sz w:val="48"/>
          <w:szCs w:val="48"/>
          <w:highlight w:val="none"/>
        </w:rPr>
      </w:pPr>
    </w:p>
    <w:p w14:paraId="775FBF9E">
      <w:pPr>
        <w:rPr>
          <w:rFonts w:hint="eastAsia" w:asciiTheme="majorEastAsia" w:hAnsiTheme="majorEastAsia" w:eastAsiaTheme="majorEastAsia" w:cstheme="majorEastAsia"/>
          <w:b/>
          <w:color w:val="auto"/>
          <w:highlight w:val="none"/>
        </w:rPr>
      </w:pPr>
    </w:p>
    <w:p w14:paraId="188D53D7">
      <w:pPr>
        <w:rPr>
          <w:rFonts w:hint="eastAsia" w:asciiTheme="majorEastAsia" w:hAnsiTheme="majorEastAsia" w:eastAsiaTheme="majorEastAsia" w:cstheme="majorEastAsia"/>
          <w:b/>
          <w:color w:val="auto"/>
          <w:highlight w:val="none"/>
        </w:rPr>
      </w:pPr>
    </w:p>
    <w:p w14:paraId="3C890F6B">
      <w:pPr>
        <w:rPr>
          <w:rFonts w:hint="eastAsia" w:asciiTheme="majorEastAsia" w:hAnsiTheme="majorEastAsia" w:eastAsiaTheme="majorEastAsia" w:cstheme="majorEastAsia"/>
          <w:b/>
          <w:color w:val="auto"/>
          <w:highlight w:val="none"/>
        </w:rPr>
      </w:pPr>
    </w:p>
    <w:p w14:paraId="7A8DC274">
      <w:pPr>
        <w:rPr>
          <w:rFonts w:hint="eastAsia" w:asciiTheme="majorEastAsia" w:hAnsiTheme="majorEastAsia" w:eastAsiaTheme="majorEastAsia" w:cstheme="majorEastAsia"/>
          <w:b/>
          <w:color w:val="auto"/>
          <w:highlight w:val="none"/>
        </w:rPr>
      </w:pPr>
    </w:p>
    <w:p w14:paraId="10176724">
      <w:pPr>
        <w:rPr>
          <w:rFonts w:hint="eastAsia" w:asciiTheme="majorEastAsia" w:hAnsiTheme="majorEastAsia" w:eastAsiaTheme="majorEastAsia" w:cstheme="majorEastAsia"/>
          <w:b/>
          <w:color w:val="auto"/>
          <w:highlight w:val="none"/>
        </w:rPr>
      </w:pPr>
    </w:p>
    <w:p w14:paraId="4B892EFA">
      <w:pPr>
        <w:rPr>
          <w:rFonts w:hint="eastAsia" w:asciiTheme="majorEastAsia" w:hAnsiTheme="majorEastAsia" w:eastAsiaTheme="majorEastAsia" w:cstheme="majorEastAsia"/>
          <w:b/>
          <w:color w:val="auto"/>
          <w:highlight w:val="none"/>
        </w:rPr>
      </w:pPr>
    </w:p>
    <w:p w14:paraId="6D8ED8AB">
      <w:pPr>
        <w:rPr>
          <w:rFonts w:hint="eastAsia" w:asciiTheme="majorEastAsia" w:hAnsiTheme="majorEastAsia" w:eastAsiaTheme="majorEastAsia" w:cstheme="majorEastAsia"/>
          <w:color w:val="auto"/>
          <w:highlight w:val="none"/>
        </w:rPr>
      </w:pPr>
    </w:p>
    <w:p w14:paraId="1C5F5573">
      <w:pPr>
        <w:rPr>
          <w:rFonts w:hint="eastAsia" w:asciiTheme="majorEastAsia" w:hAnsiTheme="majorEastAsia" w:eastAsiaTheme="majorEastAsia" w:cstheme="majorEastAsia"/>
          <w:b/>
          <w:color w:val="auto"/>
          <w:highlight w:val="none"/>
        </w:rPr>
      </w:pPr>
    </w:p>
    <w:p w14:paraId="6FCE6322">
      <w:pPr>
        <w:pStyle w:val="3"/>
        <w:tabs>
          <w:tab w:val="left" w:pos="567"/>
        </w:tabs>
        <w:rPr>
          <w:rFonts w:hint="eastAsia" w:asciiTheme="majorEastAsia" w:hAnsiTheme="majorEastAsia" w:eastAsiaTheme="majorEastAsia" w:cstheme="majorEastAsia"/>
          <w:color w:val="auto"/>
          <w:highlight w:val="none"/>
        </w:rPr>
      </w:pPr>
    </w:p>
    <w:p w14:paraId="0902F64A">
      <w:pPr>
        <w:spacing w:line="360" w:lineRule="auto"/>
        <w:ind w:left="1469" w:hanging="1469" w:hangingChars="400"/>
        <w:jc w:val="center"/>
        <w:rPr>
          <w:rFonts w:hint="eastAsia" w:asciiTheme="majorEastAsia" w:hAnsiTheme="majorEastAsia" w:eastAsiaTheme="majorEastAsia" w:cstheme="majorEastAsia"/>
          <w:b/>
          <w:color w:val="auto"/>
          <w:spacing w:val="23"/>
          <w:sz w:val="32"/>
          <w:szCs w:val="32"/>
          <w:highlight w:val="none"/>
        </w:rPr>
      </w:pPr>
    </w:p>
    <w:p w14:paraId="69884479">
      <w:pPr>
        <w:spacing w:line="360" w:lineRule="auto"/>
        <w:ind w:left="1469" w:hanging="1469" w:hangingChars="400"/>
        <w:jc w:val="center"/>
        <w:rPr>
          <w:rFonts w:hint="eastAsia" w:asciiTheme="majorEastAsia" w:hAnsiTheme="majorEastAsia" w:eastAsiaTheme="majorEastAsia" w:cstheme="majorEastAsia"/>
          <w:b/>
          <w:color w:val="auto"/>
          <w:spacing w:val="23"/>
          <w:sz w:val="32"/>
          <w:szCs w:val="32"/>
          <w:highlight w:val="none"/>
        </w:rPr>
      </w:pPr>
      <w:r>
        <w:rPr>
          <w:rFonts w:hint="eastAsia" w:asciiTheme="majorEastAsia" w:hAnsiTheme="majorEastAsia" w:eastAsiaTheme="majorEastAsia" w:cstheme="majorEastAsia"/>
          <w:b/>
          <w:color w:val="auto"/>
          <w:spacing w:val="23"/>
          <w:sz w:val="32"/>
          <w:szCs w:val="32"/>
          <w:highlight w:val="none"/>
        </w:rPr>
        <w:t>甲方(</w:t>
      </w:r>
      <w:r>
        <w:rPr>
          <w:rFonts w:hint="eastAsia" w:asciiTheme="majorEastAsia" w:hAnsiTheme="majorEastAsia" w:eastAsiaTheme="majorEastAsia" w:cstheme="majorEastAsia"/>
          <w:b/>
          <w:color w:val="auto"/>
          <w:spacing w:val="23"/>
          <w:sz w:val="32"/>
          <w:szCs w:val="32"/>
          <w:highlight w:val="none"/>
        </w:rPr>
        <w:fldChar w:fldCharType="begin"/>
      </w:r>
      <w:r>
        <w:rPr>
          <w:rFonts w:hint="eastAsia" w:asciiTheme="majorEastAsia" w:hAnsiTheme="majorEastAsia" w:eastAsiaTheme="majorEastAsia" w:cstheme="majorEastAsia"/>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Theme="majorEastAsia" w:hAnsiTheme="majorEastAsia" w:eastAsiaTheme="majorEastAsia" w:cstheme="majorEastAsia"/>
          <w:b/>
          <w:color w:val="auto"/>
          <w:spacing w:val="23"/>
          <w:sz w:val="32"/>
          <w:szCs w:val="32"/>
          <w:highlight w:val="none"/>
        </w:rPr>
        <w:fldChar w:fldCharType="separate"/>
      </w:r>
      <w:r>
        <w:rPr>
          <w:rFonts w:hint="eastAsia" w:asciiTheme="majorEastAsia" w:hAnsiTheme="majorEastAsia" w:eastAsiaTheme="majorEastAsia" w:cstheme="majorEastAsia"/>
          <w:b/>
          <w:color w:val="auto"/>
          <w:spacing w:val="23"/>
          <w:sz w:val="32"/>
          <w:szCs w:val="32"/>
          <w:highlight w:val="none"/>
        </w:rPr>
        <w:t>采购人</w:t>
      </w:r>
      <w:r>
        <w:rPr>
          <w:rFonts w:hint="eastAsia" w:asciiTheme="majorEastAsia" w:hAnsiTheme="majorEastAsia" w:eastAsiaTheme="majorEastAsia" w:cstheme="majorEastAsia"/>
          <w:b/>
          <w:color w:val="auto"/>
          <w:spacing w:val="23"/>
          <w:sz w:val="32"/>
          <w:szCs w:val="32"/>
          <w:highlight w:val="none"/>
        </w:rPr>
        <w:fldChar w:fldCharType="end"/>
      </w:r>
      <w:r>
        <w:rPr>
          <w:rFonts w:hint="eastAsia" w:asciiTheme="majorEastAsia" w:hAnsiTheme="majorEastAsia" w:eastAsiaTheme="majorEastAsia" w:cstheme="majorEastAsia"/>
          <w:b/>
          <w:color w:val="auto"/>
          <w:spacing w:val="23"/>
          <w:sz w:val="32"/>
          <w:szCs w:val="32"/>
          <w:highlight w:val="none"/>
        </w:rPr>
        <w:t>)：</w:t>
      </w:r>
      <w:r>
        <w:rPr>
          <w:rFonts w:hint="eastAsia" w:asciiTheme="majorEastAsia" w:hAnsiTheme="majorEastAsia" w:eastAsiaTheme="majorEastAsia" w:cstheme="majorEastAsia"/>
          <w:color w:val="auto"/>
          <w:spacing w:val="23"/>
          <w:sz w:val="28"/>
          <w:szCs w:val="28"/>
          <w:highlight w:val="none"/>
          <w:u w:val="single"/>
        </w:rPr>
        <w:t></w:t>
      </w:r>
    </w:p>
    <w:p w14:paraId="2B284554">
      <w:pPr>
        <w:spacing w:line="360" w:lineRule="auto"/>
        <w:ind w:left="1285" w:hanging="1469" w:hangingChars="400"/>
        <w:jc w:val="center"/>
        <w:rPr>
          <w:rFonts w:hint="eastAsia" w:asciiTheme="majorEastAsia" w:hAnsiTheme="majorEastAsia" w:eastAsiaTheme="majorEastAsia" w:cstheme="majorEastAsia"/>
          <w:color w:val="auto"/>
          <w:spacing w:val="23"/>
          <w:sz w:val="28"/>
          <w:szCs w:val="28"/>
          <w:highlight w:val="none"/>
          <w:u w:val="single"/>
        </w:rPr>
      </w:pPr>
      <w:r>
        <w:rPr>
          <w:rFonts w:hint="eastAsia" w:asciiTheme="majorEastAsia" w:hAnsiTheme="majorEastAsia" w:eastAsiaTheme="majorEastAsia" w:cstheme="majorEastAsia"/>
          <w:b/>
          <w:color w:val="auto"/>
          <w:spacing w:val="23"/>
          <w:sz w:val="32"/>
          <w:szCs w:val="32"/>
          <w:highlight w:val="none"/>
        </w:rPr>
        <w:fldChar w:fldCharType="begin"/>
      </w:r>
      <w:r>
        <w:rPr>
          <w:rFonts w:hint="eastAsia" w:asciiTheme="majorEastAsia" w:hAnsiTheme="majorEastAsia" w:eastAsiaTheme="majorEastAsia" w:cstheme="majorEastAsia"/>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Theme="majorEastAsia" w:hAnsiTheme="majorEastAsia" w:eastAsiaTheme="majorEastAsia" w:cstheme="majorEastAsia"/>
          <w:b/>
          <w:color w:val="auto"/>
          <w:spacing w:val="23"/>
          <w:sz w:val="32"/>
          <w:szCs w:val="32"/>
          <w:highlight w:val="none"/>
        </w:rPr>
        <w:fldChar w:fldCharType="separate"/>
      </w:r>
      <w:r>
        <w:rPr>
          <w:rFonts w:hint="eastAsia" w:asciiTheme="majorEastAsia" w:hAnsiTheme="majorEastAsia" w:eastAsiaTheme="majorEastAsia" w:cstheme="majorEastAsia"/>
          <w:b/>
          <w:color w:val="auto"/>
          <w:spacing w:val="23"/>
          <w:sz w:val="32"/>
          <w:szCs w:val="32"/>
          <w:highlight w:val="none"/>
        </w:rPr>
        <w:t>乙方</w:t>
      </w:r>
      <w:r>
        <w:rPr>
          <w:rFonts w:hint="eastAsia" w:asciiTheme="majorEastAsia" w:hAnsiTheme="majorEastAsia" w:eastAsiaTheme="majorEastAsia" w:cstheme="majorEastAsia"/>
          <w:b/>
          <w:color w:val="auto"/>
          <w:spacing w:val="23"/>
          <w:sz w:val="32"/>
          <w:szCs w:val="32"/>
          <w:highlight w:val="none"/>
        </w:rPr>
        <w:fldChar w:fldCharType="end"/>
      </w:r>
      <w:r>
        <w:rPr>
          <w:rFonts w:hint="eastAsia" w:asciiTheme="majorEastAsia" w:hAnsiTheme="majorEastAsia" w:eastAsiaTheme="majorEastAsia" w:cstheme="majorEastAsia"/>
          <w:b/>
          <w:color w:val="auto"/>
          <w:spacing w:val="23"/>
          <w:sz w:val="32"/>
          <w:szCs w:val="32"/>
          <w:highlight w:val="none"/>
        </w:rPr>
        <w:t>(供应商)：</w:t>
      </w:r>
      <w:r>
        <w:rPr>
          <w:rFonts w:hint="eastAsia" w:asciiTheme="majorEastAsia" w:hAnsiTheme="majorEastAsia" w:eastAsiaTheme="majorEastAsia" w:cstheme="majorEastAsia"/>
          <w:color w:val="auto"/>
          <w:spacing w:val="23"/>
          <w:sz w:val="28"/>
          <w:szCs w:val="28"/>
          <w:highlight w:val="none"/>
          <w:u w:val="single"/>
        </w:rPr>
        <w:t></w:t>
      </w:r>
    </w:p>
    <w:p w14:paraId="6DFCE0AE">
      <w:pPr>
        <w:spacing w:line="360" w:lineRule="auto"/>
        <w:ind w:left="1469" w:hanging="1469" w:hangingChars="400"/>
        <w:jc w:val="center"/>
        <w:rPr>
          <w:rFonts w:hint="eastAsia" w:asciiTheme="majorEastAsia" w:hAnsiTheme="majorEastAsia" w:eastAsiaTheme="majorEastAsia" w:cstheme="majorEastAsia"/>
          <w:b/>
          <w:color w:val="auto"/>
          <w:spacing w:val="23"/>
          <w:sz w:val="32"/>
          <w:szCs w:val="32"/>
          <w:highlight w:val="none"/>
        </w:rPr>
      </w:pPr>
      <w:r>
        <w:rPr>
          <w:rFonts w:hint="eastAsia" w:asciiTheme="majorEastAsia" w:hAnsiTheme="majorEastAsia" w:eastAsiaTheme="majorEastAsia" w:cstheme="majorEastAsia"/>
          <w:b/>
          <w:color w:val="auto"/>
          <w:spacing w:val="23"/>
          <w:sz w:val="32"/>
          <w:szCs w:val="32"/>
          <w:highlight w:val="none"/>
          <w:lang w:val="en-US" w:eastAsia="zh-CN"/>
        </w:rPr>
        <w:t xml:space="preserve">  </w:t>
      </w:r>
      <w:r>
        <w:rPr>
          <w:rFonts w:hint="eastAsia" w:asciiTheme="majorEastAsia" w:hAnsiTheme="majorEastAsia" w:eastAsiaTheme="majorEastAsia" w:cstheme="majorEastAsia"/>
          <w:b/>
          <w:color w:val="auto"/>
          <w:spacing w:val="23"/>
          <w:sz w:val="32"/>
          <w:szCs w:val="32"/>
          <w:highlight w:val="none"/>
        </w:rPr>
        <w:t>签订时间：年月日</w:t>
      </w:r>
    </w:p>
    <w:p w14:paraId="57F11794">
      <w:pPr>
        <w:rPr>
          <w:rFonts w:hint="eastAsia" w:asciiTheme="majorEastAsia" w:hAnsiTheme="majorEastAsia" w:eastAsiaTheme="majorEastAsia" w:cstheme="majorEastAsia"/>
          <w:b/>
          <w:color w:val="auto"/>
          <w:spacing w:val="23"/>
          <w:sz w:val="32"/>
          <w:szCs w:val="32"/>
          <w:highlight w:val="none"/>
        </w:rPr>
      </w:pPr>
      <w:r>
        <w:rPr>
          <w:rFonts w:hint="eastAsia" w:asciiTheme="majorEastAsia" w:hAnsiTheme="majorEastAsia" w:eastAsiaTheme="majorEastAsia" w:cstheme="majorEastAsia"/>
          <w:b/>
          <w:color w:val="auto"/>
          <w:spacing w:val="23"/>
          <w:sz w:val="32"/>
          <w:szCs w:val="32"/>
          <w:highlight w:val="none"/>
        </w:rPr>
        <w:br w:type="page"/>
      </w:r>
    </w:p>
    <w:p w14:paraId="33209297">
      <w:pPr>
        <w:widowControl/>
        <w:ind w:firstLine="3373" w:firstLineChars="700"/>
        <w:jc w:val="both"/>
        <w:rPr>
          <w:rFonts w:hint="eastAsia" w:ascii="宋体" w:hAnsi="宋体" w:eastAsia="宋体" w:cs="宋体"/>
          <w:b/>
          <w:bCs/>
          <w:kern w:val="0"/>
          <w:sz w:val="48"/>
          <w:szCs w:val="48"/>
          <w:highlight w:val="none"/>
        </w:rPr>
      </w:pPr>
      <w:r>
        <w:rPr>
          <w:rFonts w:hint="eastAsia" w:ascii="宋体" w:hAnsi="宋体" w:eastAsia="宋体" w:cs="宋体"/>
          <w:b/>
          <w:bCs/>
          <w:kern w:val="0"/>
          <w:sz w:val="48"/>
          <w:szCs w:val="48"/>
          <w:highlight w:val="none"/>
        </w:rPr>
        <w:t>合同格式</w:t>
      </w:r>
    </w:p>
    <w:p w14:paraId="49039207">
      <w:pPr>
        <w:spacing w:line="360" w:lineRule="auto"/>
        <w:ind w:firstLine="400" w:firstLineChars="200"/>
        <w:rPr>
          <w:rFonts w:hint="eastAsia" w:ascii="宋体" w:hAnsi="宋体" w:eastAsia="宋体" w:cs="宋体"/>
          <w:bCs/>
          <w:strike w:val="0"/>
          <w:dstrike w:val="0"/>
          <w:color w:val="auto"/>
          <w:sz w:val="20"/>
          <w:szCs w:val="20"/>
          <w:highlight w:val="none"/>
        </w:rPr>
      </w:pPr>
      <w:r>
        <w:rPr>
          <w:rFonts w:hint="eastAsia" w:ascii="宋体" w:hAnsi="宋体" w:eastAsia="宋体" w:cs="宋体"/>
          <w:bCs/>
          <w:strike w:val="0"/>
          <w:dstrike w:val="0"/>
          <w:color w:val="auto"/>
          <w:sz w:val="20"/>
          <w:szCs w:val="20"/>
          <w:highlight w:val="none"/>
        </w:rPr>
        <w:t>合同编号：</w:t>
      </w:r>
      <w:r>
        <w:rPr>
          <w:rFonts w:hint="eastAsia" w:ascii="宋体" w:hAnsi="宋体" w:eastAsia="宋体" w:cs="宋体"/>
          <w:bCs/>
          <w:strike w:val="0"/>
          <w:dstrike w:val="0"/>
          <w:color w:val="auto"/>
          <w:sz w:val="20"/>
          <w:szCs w:val="20"/>
          <w:highlight w:val="none"/>
          <w:u w:val="single"/>
          <w:lang w:val="en-US" w:eastAsia="zh-CN"/>
        </w:rPr>
        <w:t xml:space="preserve">              </w:t>
      </w:r>
      <w:r>
        <w:rPr>
          <w:rFonts w:hint="eastAsia" w:ascii="宋体" w:hAnsi="宋体" w:eastAsia="宋体" w:cs="宋体"/>
          <w:bCs/>
          <w:strike w:val="0"/>
          <w:dstrike w:val="0"/>
          <w:color w:val="auto"/>
          <w:sz w:val="20"/>
          <w:szCs w:val="20"/>
          <w:highlight w:val="none"/>
        </w:rPr>
        <w:t xml:space="preserve"> </w:t>
      </w:r>
    </w:p>
    <w:p w14:paraId="3844A205">
      <w:pPr>
        <w:spacing w:line="360" w:lineRule="auto"/>
        <w:ind w:firstLine="400" w:firstLineChars="200"/>
        <w:rPr>
          <w:rFonts w:hint="default" w:ascii="宋体" w:hAnsi="宋体" w:eastAsia="宋体" w:cs="宋体"/>
          <w:bCs/>
          <w:strike w:val="0"/>
          <w:dstrike w:val="0"/>
          <w:color w:val="auto"/>
          <w:sz w:val="20"/>
          <w:szCs w:val="20"/>
          <w:highlight w:val="none"/>
          <w:u w:val="single"/>
          <w:lang w:val="en-US" w:eastAsia="zh-CN"/>
        </w:rPr>
      </w:pPr>
      <w:r>
        <w:rPr>
          <w:rFonts w:hint="eastAsia" w:ascii="宋体" w:hAnsi="宋体" w:eastAsia="宋体" w:cs="宋体"/>
          <w:bCs/>
          <w:strike w:val="0"/>
          <w:dstrike w:val="0"/>
          <w:color w:val="auto"/>
          <w:sz w:val="20"/>
          <w:szCs w:val="20"/>
          <w:highlight w:val="none"/>
        </w:rPr>
        <w:t>签订地点：</w:t>
      </w:r>
      <w:r>
        <w:rPr>
          <w:rFonts w:hint="eastAsia" w:ascii="宋体" w:hAnsi="宋体" w:eastAsia="宋体" w:cs="宋体"/>
          <w:bCs/>
          <w:strike w:val="0"/>
          <w:dstrike w:val="0"/>
          <w:color w:val="auto"/>
          <w:sz w:val="20"/>
          <w:szCs w:val="20"/>
          <w:highlight w:val="none"/>
          <w:u w:val="single"/>
          <w:lang w:val="en-US" w:eastAsia="zh-CN"/>
        </w:rPr>
        <w:t xml:space="preserve">              </w:t>
      </w:r>
    </w:p>
    <w:p w14:paraId="307E1A25">
      <w:pPr>
        <w:spacing w:line="360" w:lineRule="auto"/>
        <w:ind w:firstLine="400" w:firstLineChars="200"/>
        <w:rPr>
          <w:rFonts w:hint="eastAsia" w:ascii="宋体" w:hAnsi="宋体" w:eastAsia="宋体" w:cs="宋体"/>
          <w:bCs/>
          <w:strike w:val="0"/>
          <w:dstrike w:val="0"/>
          <w:color w:val="auto"/>
          <w:sz w:val="20"/>
          <w:szCs w:val="20"/>
          <w:highlight w:val="none"/>
        </w:rPr>
      </w:pPr>
      <w:r>
        <w:rPr>
          <w:rFonts w:hint="eastAsia" w:ascii="宋体" w:hAnsi="宋体" w:eastAsia="宋体" w:cs="宋体"/>
          <w:bCs/>
          <w:strike w:val="0"/>
          <w:dstrike w:val="0"/>
          <w:color w:val="auto"/>
          <w:sz w:val="20"/>
          <w:szCs w:val="20"/>
          <w:highlight w:val="none"/>
        </w:rPr>
        <w:t>是否为专门面向中小企业的采购项目：</w:t>
      </w:r>
      <w:r>
        <w:rPr>
          <w:rFonts w:hint="eastAsia" w:ascii="宋体" w:hAnsi="宋体" w:eastAsia="宋体" w:cs="宋体"/>
          <w:bCs/>
          <w:strike w:val="0"/>
          <w:dstrike w:val="0"/>
          <w:color w:val="auto"/>
          <w:sz w:val="20"/>
          <w:szCs w:val="20"/>
          <w:highlight w:val="none"/>
          <w:u w:val="single"/>
        </w:rPr>
        <w:t>是</w:t>
      </w:r>
    </w:p>
    <w:p w14:paraId="6913C1E0">
      <w:pPr>
        <w:spacing w:line="360" w:lineRule="auto"/>
        <w:ind w:firstLine="400" w:firstLineChars="200"/>
        <w:rPr>
          <w:rFonts w:hint="default" w:ascii="宋体" w:hAnsi="宋体" w:eastAsia="宋体" w:cs="宋体"/>
          <w:bCs/>
          <w:sz w:val="20"/>
          <w:szCs w:val="20"/>
          <w:highlight w:val="none"/>
          <w:u w:val="single"/>
          <w:lang w:val="en-US" w:eastAsia="zh-CN"/>
        </w:rPr>
      </w:pPr>
      <w:r>
        <w:rPr>
          <w:rFonts w:hint="eastAsia" w:ascii="宋体" w:hAnsi="宋体" w:eastAsia="宋体" w:cs="宋体"/>
          <w:bCs/>
          <w:sz w:val="20"/>
          <w:szCs w:val="20"/>
          <w:highlight w:val="none"/>
        </w:rPr>
        <w:t>采购人（甲方）：</w:t>
      </w:r>
      <w:r>
        <w:rPr>
          <w:rFonts w:hint="eastAsia" w:ascii="宋体" w:hAnsi="宋体" w:eastAsia="宋体" w:cs="宋体"/>
          <w:bCs/>
          <w:sz w:val="20"/>
          <w:szCs w:val="20"/>
          <w:highlight w:val="none"/>
          <w:u w:val="single"/>
          <w:lang w:val="en-US" w:eastAsia="zh-CN"/>
        </w:rPr>
        <w:t xml:space="preserve"> 西安浐灞国际港管理委员会</w:t>
      </w:r>
    </w:p>
    <w:p w14:paraId="447B3E1E">
      <w:pPr>
        <w:spacing w:line="360" w:lineRule="auto"/>
        <w:ind w:firstLine="400" w:firstLineChars="200"/>
        <w:rPr>
          <w:rFonts w:hint="default" w:ascii="宋体" w:hAnsi="宋体" w:eastAsia="宋体" w:cs="宋体"/>
          <w:bCs/>
          <w:sz w:val="20"/>
          <w:szCs w:val="20"/>
          <w:highlight w:val="none"/>
          <w:u w:val="single"/>
          <w:lang w:val="en-US" w:eastAsia="zh-CN"/>
        </w:rPr>
      </w:pPr>
      <w:r>
        <w:rPr>
          <w:rFonts w:hint="eastAsia" w:ascii="宋体" w:hAnsi="宋体" w:eastAsia="宋体" w:cs="宋体"/>
          <w:bCs/>
          <w:sz w:val="20"/>
          <w:szCs w:val="20"/>
          <w:highlight w:val="none"/>
        </w:rPr>
        <w:t>供应商（乙方）：</w:t>
      </w:r>
      <w:r>
        <w:rPr>
          <w:rFonts w:hint="eastAsia" w:ascii="宋体" w:hAnsi="宋体" w:eastAsia="宋体" w:cs="宋体"/>
          <w:bCs/>
          <w:sz w:val="20"/>
          <w:szCs w:val="20"/>
          <w:highlight w:val="none"/>
          <w:u w:val="single"/>
          <w:lang w:val="en-US" w:eastAsia="zh-CN"/>
        </w:rPr>
        <w:t xml:space="preserve">                         </w:t>
      </w:r>
    </w:p>
    <w:p w14:paraId="1AC33FC2">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根据《中华人民共和国政府采购法》及实施条例、《中华人民共和国民法典》和</w:t>
      </w:r>
      <w:r>
        <w:rPr>
          <w:rFonts w:hint="eastAsia" w:ascii="宋体" w:hAnsi="宋体" w:eastAsia="宋体" w:cs="宋体"/>
          <w:bCs/>
          <w:sz w:val="20"/>
          <w:szCs w:val="20"/>
          <w:highlight w:val="none"/>
          <w:lang w:eastAsia="zh-CN"/>
        </w:rPr>
        <w:t>2026年统计工作辅助服务项目</w:t>
      </w:r>
      <w:r>
        <w:rPr>
          <w:rFonts w:hint="eastAsia" w:ascii="宋体" w:hAnsi="宋体" w:eastAsia="宋体" w:cs="宋体"/>
          <w:bCs/>
          <w:sz w:val="20"/>
          <w:szCs w:val="20"/>
          <w:highlight w:val="none"/>
        </w:rPr>
        <w:t>（采购项目编号</w:t>
      </w:r>
      <w:r>
        <w:rPr>
          <w:rFonts w:hint="eastAsia" w:ascii="宋体" w:hAnsi="宋体" w:eastAsia="宋体" w:cs="宋体"/>
          <w:bCs/>
          <w:sz w:val="20"/>
          <w:szCs w:val="20"/>
          <w:highlight w:val="none"/>
          <w:lang w:eastAsia="zh-CN"/>
        </w:rPr>
        <w:t>CGZC-2026-019-SXLX26-02-035Z(F)</w:t>
      </w:r>
      <w:r>
        <w:rPr>
          <w:rFonts w:hint="eastAsia" w:ascii="宋体" w:hAnsi="宋体" w:eastAsia="宋体" w:cs="宋体"/>
          <w:bCs/>
          <w:sz w:val="20"/>
          <w:szCs w:val="20"/>
          <w:highlight w:val="none"/>
        </w:rPr>
        <w:t>）的采购文件、响应文件等有关规定，为确保甲方采购项目的顺利实施，甲、乙双方在平等自愿原则下签订本合同，并共同遵守如下条款，其主要要求如下：</w:t>
      </w:r>
    </w:p>
    <w:p w14:paraId="5AFDF4DF">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第一条   项目基本情况</w:t>
      </w:r>
    </w:p>
    <w:p w14:paraId="0A6C1EA6">
      <w:pPr>
        <w:spacing w:line="360" w:lineRule="auto"/>
        <w:ind w:firstLine="400" w:firstLineChars="200"/>
        <w:rPr>
          <w:rFonts w:hint="eastAsia" w:ascii="宋体" w:hAnsi="宋体" w:eastAsia="宋体" w:cs="宋体"/>
          <w:bCs/>
          <w:sz w:val="20"/>
          <w:szCs w:val="20"/>
          <w:highlight w:val="none"/>
          <w:u w:val="single"/>
          <w:lang w:val="en-US" w:eastAsia="zh-CN"/>
        </w:rPr>
      </w:pPr>
      <w:r>
        <w:rPr>
          <w:rFonts w:hint="eastAsia" w:ascii="宋体" w:hAnsi="宋体" w:eastAsia="宋体" w:cs="宋体"/>
          <w:bCs/>
          <w:sz w:val="20"/>
          <w:szCs w:val="20"/>
          <w:highlight w:val="none"/>
          <w:u w:val="single"/>
          <w:lang w:eastAsia="zh-CN"/>
        </w:rPr>
        <w:t>2026年统计工作辅助服务项目</w:t>
      </w:r>
      <w:r>
        <w:rPr>
          <w:rFonts w:hint="eastAsia" w:ascii="宋体" w:hAnsi="宋体" w:eastAsia="宋体" w:cs="宋体"/>
          <w:bCs/>
          <w:sz w:val="20"/>
          <w:szCs w:val="20"/>
          <w:highlight w:val="none"/>
          <w:u w:val="single"/>
          <w:lang w:val="en-US" w:eastAsia="zh-CN"/>
        </w:rPr>
        <w:t>。</w:t>
      </w:r>
    </w:p>
    <w:p w14:paraId="2BE7FA50">
      <w:pPr>
        <w:spacing w:line="360" w:lineRule="auto"/>
        <w:ind w:firstLine="400" w:firstLineChars="200"/>
        <w:rPr>
          <w:rFonts w:hint="eastAsia" w:ascii="宋体" w:hAnsi="宋体" w:eastAsia="宋体" w:cs="宋体"/>
          <w:bCs/>
          <w:sz w:val="20"/>
          <w:szCs w:val="20"/>
          <w:highlight w:val="none"/>
          <w:u w:val="single"/>
          <w:lang w:val="en-US" w:eastAsia="zh-CN"/>
        </w:rPr>
      </w:pPr>
      <w:r>
        <w:rPr>
          <w:rFonts w:hint="default" w:ascii="宋体" w:hAnsi="宋体" w:eastAsia="宋体" w:cs="宋体"/>
          <w:bCs/>
          <w:color w:val="auto"/>
          <w:sz w:val="20"/>
          <w:szCs w:val="20"/>
          <w:highlight w:val="none"/>
          <w:u w:val="single"/>
          <w:lang w:val="en-US" w:eastAsia="zh-CN"/>
        </w:rPr>
        <w:t>为保证西安浐灞国际港统计工作服务质量，采购统计工作辅助服务，</w:t>
      </w:r>
      <w:r>
        <w:rPr>
          <w:rFonts w:hint="eastAsia" w:ascii="宋体" w:hAnsi="宋体" w:eastAsia="宋体" w:cs="宋体"/>
          <w:bCs/>
          <w:sz w:val="20"/>
          <w:szCs w:val="20"/>
          <w:highlight w:val="none"/>
          <w:u w:val="single"/>
          <w:lang w:val="en-US" w:eastAsia="zh-CN"/>
        </w:rPr>
        <w:t>开展经济发展改革局经济、社会、部门等统计工作服务。</w:t>
      </w:r>
    </w:p>
    <w:p w14:paraId="74833F84">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w:t>
      </w:r>
      <w:r>
        <w:rPr>
          <w:rFonts w:hint="eastAsia" w:ascii="宋体" w:hAnsi="宋体" w:eastAsia="宋体" w:cs="宋体"/>
          <w:b/>
          <w:bCs w:val="0"/>
          <w:sz w:val="20"/>
          <w:szCs w:val="20"/>
          <w:highlight w:val="none"/>
          <w:lang w:val="en-US" w:eastAsia="zh-CN"/>
        </w:rPr>
        <w:t>二</w:t>
      </w:r>
      <w:r>
        <w:rPr>
          <w:rFonts w:hint="eastAsia" w:ascii="宋体" w:hAnsi="宋体" w:eastAsia="宋体" w:cs="宋体"/>
          <w:b/>
          <w:bCs w:val="0"/>
          <w:sz w:val="20"/>
          <w:szCs w:val="20"/>
          <w:highlight w:val="none"/>
        </w:rPr>
        <w:t>条   服务内容与质量标准</w:t>
      </w:r>
    </w:p>
    <w:p w14:paraId="44FF233F">
      <w:pPr>
        <w:pStyle w:val="7"/>
        <w:numPr>
          <w:ilvl w:val="0"/>
          <w:numId w:val="0"/>
        </w:numPr>
        <w:shd w:val="clear" w:color="auto" w:fill="auto"/>
        <w:spacing w:line="360" w:lineRule="auto"/>
        <w:ind w:firstLine="408" w:firstLineChars="200"/>
        <w:jc w:val="left"/>
        <w:rPr>
          <w:rFonts w:hint="eastAsia" w:ascii="宋体" w:hAnsi="宋体" w:cs="宋体"/>
          <w:b w:val="0"/>
          <w:bCs/>
          <w:color w:val="auto"/>
          <w:spacing w:val="2"/>
          <w:highlight w:val="none"/>
          <w:lang w:val="en-US" w:eastAsia="zh-CN"/>
        </w:rPr>
      </w:pPr>
      <w:r>
        <w:rPr>
          <w:rFonts w:hint="eastAsia" w:ascii="宋体" w:hAnsi="宋体" w:cs="宋体"/>
          <w:b w:val="0"/>
          <w:bCs/>
          <w:color w:val="auto"/>
          <w:spacing w:val="2"/>
          <w:highlight w:val="none"/>
          <w:lang w:val="en-US" w:eastAsia="zh-CN"/>
        </w:rPr>
        <w:t>2.1、服务内容：</w:t>
      </w:r>
    </w:p>
    <w:p w14:paraId="73A06369">
      <w:pPr>
        <w:spacing w:line="360" w:lineRule="auto"/>
        <w:ind w:firstLine="400" w:firstLineChars="200"/>
        <w:rPr>
          <w:rFonts w:hint="default" w:ascii="宋体" w:hAnsi="宋体" w:eastAsia="宋体" w:cs="宋体"/>
          <w:b w:val="0"/>
          <w:bCs/>
          <w:color w:val="auto"/>
          <w:spacing w:val="2"/>
          <w:sz w:val="20"/>
          <w:szCs w:val="20"/>
          <w:highlight w:val="none"/>
          <w:u w:val="single"/>
          <w:lang w:val="en-US" w:eastAsia="zh-CN"/>
        </w:rPr>
      </w:pPr>
      <w:r>
        <w:rPr>
          <w:rFonts w:hint="default" w:ascii="宋体" w:hAnsi="宋体" w:eastAsia="宋体" w:cs="宋体"/>
          <w:bCs/>
          <w:color w:val="auto"/>
          <w:sz w:val="20"/>
          <w:szCs w:val="20"/>
          <w:highlight w:val="none"/>
          <w:u w:val="none"/>
          <w:lang w:val="en-US" w:eastAsia="zh-CN"/>
        </w:rPr>
        <w:t>服务范围覆盖西安浐灞国际港内，开展经济发展改革局经济、社会、部门等统计工作服务，开展企业报表催报、指标查询审核、企业统计人员培训等工作服务</w:t>
      </w:r>
      <w:r>
        <w:rPr>
          <w:rFonts w:hint="eastAsia" w:ascii="宋体" w:hAnsi="宋体" w:eastAsia="宋体" w:cs="宋体"/>
          <w:bCs/>
          <w:color w:val="auto"/>
          <w:sz w:val="20"/>
          <w:szCs w:val="20"/>
          <w:highlight w:val="none"/>
          <w:u w:val="none"/>
          <w:lang w:val="en-US" w:eastAsia="zh-CN"/>
        </w:rPr>
        <w:t>，</w:t>
      </w:r>
      <w:r>
        <w:rPr>
          <w:rFonts w:hint="default" w:ascii="宋体" w:hAnsi="宋体" w:eastAsia="宋体" w:cs="宋体"/>
          <w:bCs/>
          <w:color w:val="auto"/>
          <w:sz w:val="20"/>
          <w:szCs w:val="20"/>
          <w:highlight w:val="none"/>
          <w:u w:val="none"/>
          <w:lang w:val="en-US" w:eastAsia="zh-CN"/>
        </w:rPr>
        <w:t>服务团队人员数量应不少于</w:t>
      </w:r>
      <w:r>
        <w:rPr>
          <w:rFonts w:hint="eastAsia" w:ascii="宋体" w:hAnsi="宋体" w:eastAsia="宋体" w:cs="宋体"/>
          <w:bCs/>
          <w:color w:val="auto"/>
          <w:sz w:val="20"/>
          <w:szCs w:val="20"/>
          <w:highlight w:val="none"/>
          <w:u w:val="single"/>
          <w:lang w:val="en-US" w:eastAsia="zh-CN"/>
        </w:rPr>
        <w:t xml:space="preserve"> 14 </w:t>
      </w:r>
      <w:r>
        <w:rPr>
          <w:rFonts w:hint="default" w:ascii="宋体" w:hAnsi="宋体" w:eastAsia="宋体" w:cs="宋体"/>
          <w:bCs/>
          <w:color w:val="auto"/>
          <w:sz w:val="20"/>
          <w:szCs w:val="20"/>
          <w:highlight w:val="none"/>
          <w:u w:val="none"/>
          <w:lang w:val="en-US" w:eastAsia="zh-CN"/>
        </w:rPr>
        <w:t>人，</w:t>
      </w:r>
      <w:r>
        <w:rPr>
          <w:rFonts w:hint="eastAsia" w:ascii="宋体" w:hAnsi="宋体" w:eastAsia="宋体" w:cs="宋体"/>
          <w:bCs/>
          <w:color w:val="auto"/>
          <w:sz w:val="20"/>
          <w:szCs w:val="20"/>
          <w:highlight w:val="none"/>
          <w:u w:val="none"/>
          <w:lang w:val="en-US" w:eastAsia="zh-CN"/>
        </w:rPr>
        <w:t>详细内容详见磋商文件及乙方响应文件</w:t>
      </w:r>
      <w:r>
        <w:rPr>
          <w:rFonts w:hint="default" w:ascii="宋体" w:hAnsi="宋体" w:eastAsia="宋体" w:cs="宋体"/>
          <w:bCs/>
          <w:color w:val="auto"/>
          <w:sz w:val="20"/>
          <w:szCs w:val="20"/>
          <w:highlight w:val="none"/>
          <w:u w:val="none"/>
          <w:lang w:val="en-US" w:eastAsia="zh-CN"/>
        </w:rPr>
        <w:t>。</w:t>
      </w:r>
    </w:p>
    <w:p w14:paraId="7D9F22BF">
      <w:pPr>
        <w:pStyle w:val="7"/>
        <w:numPr>
          <w:ilvl w:val="0"/>
          <w:numId w:val="0"/>
        </w:numPr>
        <w:shd w:val="clear" w:color="auto" w:fill="auto"/>
        <w:spacing w:line="360" w:lineRule="auto"/>
        <w:ind w:firstLine="408" w:firstLineChars="200"/>
        <w:jc w:val="left"/>
        <w:rPr>
          <w:rFonts w:hint="eastAsia" w:ascii="宋体" w:hAnsi="宋体" w:cs="宋体"/>
          <w:b w:val="0"/>
          <w:bCs/>
          <w:color w:val="auto"/>
          <w:spacing w:val="2"/>
          <w:sz w:val="20"/>
          <w:szCs w:val="20"/>
          <w:highlight w:val="none"/>
          <w:lang w:val="en-US" w:eastAsia="zh-CN"/>
        </w:rPr>
      </w:pPr>
      <w:r>
        <w:rPr>
          <w:rFonts w:hint="eastAsia" w:ascii="宋体" w:hAnsi="宋体" w:cs="宋体"/>
          <w:b w:val="0"/>
          <w:bCs/>
          <w:color w:val="auto"/>
          <w:spacing w:val="2"/>
          <w:sz w:val="20"/>
          <w:szCs w:val="20"/>
          <w:highlight w:val="none"/>
          <w:lang w:val="en-US" w:eastAsia="zh-CN"/>
        </w:rPr>
        <w:t>2.2、质量标准：</w:t>
      </w:r>
    </w:p>
    <w:p w14:paraId="4649D6F6">
      <w:pPr>
        <w:pStyle w:val="7"/>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eastAsia="zh-CN"/>
        </w:rPr>
        <w:t>按照磋商文件及</w:t>
      </w:r>
      <w:r>
        <w:rPr>
          <w:rFonts w:hint="eastAsia" w:ascii="宋体" w:hAnsi="宋体" w:cs="宋体"/>
          <w:color w:val="auto"/>
          <w:sz w:val="20"/>
          <w:szCs w:val="18"/>
          <w:highlight w:val="none"/>
          <w:u w:val="single"/>
          <w:lang w:val="en-US" w:eastAsia="zh-CN"/>
        </w:rPr>
        <w:t>甲方</w:t>
      </w:r>
      <w:r>
        <w:rPr>
          <w:rFonts w:hint="eastAsia" w:ascii="宋体" w:hAnsi="宋体" w:cs="宋体"/>
          <w:color w:val="auto"/>
          <w:sz w:val="20"/>
          <w:szCs w:val="18"/>
          <w:highlight w:val="none"/>
          <w:u w:val="single"/>
          <w:lang w:eastAsia="zh-CN"/>
        </w:rPr>
        <w:t>要求执行，根据所服务的内容并按照所对应的法律法规、规范标准、技术规程等实施，在实施过程中，如果国家或有关部门颁布了新的技术标准或规范，则</w:t>
      </w:r>
      <w:r>
        <w:rPr>
          <w:rFonts w:hint="eastAsia" w:ascii="宋体" w:hAnsi="宋体" w:cs="宋体"/>
          <w:color w:val="auto"/>
          <w:sz w:val="20"/>
          <w:szCs w:val="18"/>
          <w:highlight w:val="none"/>
          <w:u w:val="single"/>
          <w:lang w:val="en-US" w:eastAsia="zh-CN"/>
        </w:rPr>
        <w:t>乙方</w:t>
      </w:r>
      <w:r>
        <w:rPr>
          <w:rFonts w:hint="eastAsia" w:ascii="宋体" w:hAnsi="宋体" w:cs="宋体"/>
          <w:color w:val="auto"/>
          <w:sz w:val="20"/>
          <w:szCs w:val="18"/>
          <w:highlight w:val="none"/>
          <w:u w:val="single"/>
          <w:lang w:eastAsia="zh-CN"/>
        </w:rPr>
        <w:t>应采用新的标准或规范进行实施。</w:t>
      </w:r>
    </w:p>
    <w:p w14:paraId="6E92013C">
      <w:pPr>
        <w:pStyle w:val="7"/>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eastAsia="zh-CN"/>
        </w:rPr>
        <w:t>同时需满足以下考核指标：</w:t>
      </w:r>
    </w:p>
    <w:p w14:paraId="05EFBCB1">
      <w:pPr>
        <w:pStyle w:val="7"/>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eastAsia="zh-CN"/>
        </w:rPr>
        <w:t>① 报表催报及时率≥</w:t>
      </w:r>
      <w:r>
        <w:rPr>
          <w:rFonts w:hint="eastAsia" w:ascii="宋体" w:hAnsi="宋体" w:cs="宋体"/>
          <w:color w:val="auto"/>
          <w:sz w:val="20"/>
          <w:szCs w:val="18"/>
          <w:highlight w:val="none"/>
          <w:u w:val="single"/>
          <w:lang w:val="en-US" w:eastAsia="zh-CN"/>
        </w:rPr>
        <w:t>98</w:t>
      </w:r>
      <w:r>
        <w:rPr>
          <w:rFonts w:hint="eastAsia" w:ascii="宋体" w:hAnsi="宋体" w:cs="宋体"/>
          <w:color w:val="auto"/>
          <w:sz w:val="20"/>
          <w:szCs w:val="18"/>
          <w:highlight w:val="none"/>
          <w:u w:val="single"/>
          <w:lang w:eastAsia="zh-CN"/>
        </w:rPr>
        <w:t>%；</w:t>
      </w:r>
    </w:p>
    <w:p w14:paraId="7BE1346B">
      <w:pPr>
        <w:pStyle w:val="7"/>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eastAsia="zh-CN"/>
        </w:rPr>
        <w:t>② 新增企业纳统资料收集、录入、审核及时率100%；</w:t>
      </w:r>
    </w:p>
    <w:p w14:paraId="160DBFC8">
      <w:pPr>
        <w:pStyle w:val="7"/>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eastAsia="zh-CN"/>
        </w:rPr>
        <w:t>③ 新增企业统计指导、培训覆盖率100%；</w:t>
      </w:r>
    </w:p>
    <w:p w14:paraId="72A23ABF">
      <w:pPr>
        <w:pStyle w:val="7"/>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eastAsia="zh-CN"/>
        </w:rPr>
        <w:t>④ 数据质量核查问题整改闭环率100%；</w:t>
      </w:r>
    </w:p>
    <w:p w14:paraId="6E7D9F86">
      <w:pPr>
        <w:pStyle w:val="7"/>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eastAsia="zh-CN"/>
        </w:rPr>
        <w:t>⑤ 上级及本区各类检查督察资料整理、上报及时率100%，无遗漏、无差错；</w:t>
      </w:r>
    </w:p>
    <w:p w14:paraId="055EF5A9">
      <w:pPr>
        <w:pStyle w:val="7"/>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eastAsia="zh-CN"/>
        </w:rPr>
        <w:t>⑥ 工作计划、工作总结提交及时率100%，内容完整、符合甲方要求；</w:t>
      </w:r>
    </w:p>
    <w:p w14:paraId="01ED54E7">
      <w:pPr>
        <w:pStyle w:val="7"/>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val="en-US" w:eastAsia="zh-CN"/>
        </w:rPr>
        <w:t>⑦甲方</w:t>
      </w:r>
      <w:r>
        <w:rPr>
          <w:rFonts w:hint="eastAsia" w:ascii="宋体" w:hAnsi="宋体" w:cs="宋体"/>
          <w:color w:val="auto"/>
          <w:sz w:val="20"/>
          <w:szCs w:val="18"/>
          <w:highlight w:val="none"/>
          <w:u w:val="single"/>
          <w:lang w:eastAsia="zh-CN"/>
        </w:rPr>
        <w:t>监督检查整改及时率100%，对</w:t>
      </w:r>
      <w:r>
        <w:rPr>
          <w:rFonts w:hint="eastAsia" w:ascii="宋体" w:hAnsi="宋体" w:cs="宋体"/>
          <w:color w:val="auto"/>
          <w:sz w:val="20"/>
          <w:szCs w:val="18"/>
          <w:highlight w:val="none"/>
          <w:u w:val="single"/>
          <w:lang w:val="en-US" w:eastAsia="zh-CN"/>
        </w:rPr>
        <w:t>甲方</w:t>
      </w:r>
      <w:r>
        <w:rPr>
          <w:rFonts w:hint="eastAsia" w:ascii="宋体" w:hAnsi="宋体" w:cs="宋体"/>
          <w:color w:val="auto"/>
          <w:sz w:val="20"/>
          <w:szCs w:val="18"/>
          <w:highlight w:val="none"/>
          <w:u w:val="single"/>
          <w:lang w:eastAsia="zh-CN"/>
        </w:rPr>
        <w:t>提出的整改要求，</w:t>
      </w:r>
      <w:r>
        <w:rPr>
          <w:rFonts w:hint="eastAsia" w:ascii="宋体" w:hAnsi="宋体" w:cs="宋体"/>
          <w:color w:val="auto"/>
          <w:sz w:val="20"/>
          <w:szCs w:val="18"/>
          <w:highlight w:val="none"/>
          <w:u w:val="single"/>
          <w:lang w:val="en-US" w:eastAsia="zh-CN"/>
        </w:rPr>
        <w:t>乙方</w:t>
      </w:r>
      <w:r>
        <w:rPr>
          <w:rFonts w:hint="eastAsia" w:ascii="宋体" w:hAnsi="宋体" w:cs="宋体"/>
          <w:color w:val="auto"/>
          <w:sz w:val="20"/>
          <w:szCs w:val="18"/>
          <w:highlight w:val="none"/>
          <w:u w:val="single"/>
          <w:lang w:eastAsia="zh-CN"/>
        </w:rPr>
        <w:t>需在规定期限内完成整改，逾期未整改或整改不到位的，按考核不合格处理。</w:t>
      </w:r>
    </w:p>
    <w:p w14:paraId="35CC0ECE">
      <w:pPr>
        <w:spacing w:line="360" w:lineRule="auto"/>
        <w:ind w:firstLine="402" w:firstLineChars="200"/>
        <w:rPr>
          <w:rFonts w:hint="eastAsia" w:ascii="宋体" w:hAnsi="宋体" w:eastAsia="宋体" w:cs="宋体"/>
          <w:b/>
          <w:bCs w:val="0"/>
          <w:color w:val="auto"/>
          <w:sz w:val="20"/>
          <w:szCs w:val="20"/>
          <w:highlight w:val="none"/>
        </w:rPr>
      </w:pPr>
      <w:r>
        <w:rPr>
          <w:rFonts w:hint="eastAsia" w:ascii="宋体" w:hAnsi="宋体" w:eastAsia="宋体" w:cs="宋体"/>
          <w:b/>
          <w:bCs w:val="0"/>
          <w:color w:val="auto"/>
          <w:sz w:val="20"/>
          <w:szCs w:val="20"/>
          <w:highlight w:val="none"/>
        </w:rPr>
        <w:t>第</w:t>
      </w:r>
      <w:r>
        <w:rPr>
          <w:rFonts w:hint="eastAsia" w:ascii="宋体" w:hAnsi="宋体" w:eastAsia="宋体" w:cs="宋体"/>
          <w:b/>
          <w:bCs w:val="0"/>
          <w:color w:val="auto"/>
          <w:sz w:val="20"/>
          <w:szCs w:val="20"/>
          <w:highlight w:val="none"/>
          <w:lang w:val="en-US" w:eastAsia="zh-CN"/>
        </w:rPr>
        <w:t>三</w:t>
      </w:r>
      <w:r>
        <w:rPr>
          <w:rFonts w:hint="eastAsia" w:ascii="宋体" w:hAnsi="宋体" w:eastAsia="宋体" w:cs="宋体"/>
          <w:b/>
          <w:bCs w:val="0"/>
          <w:color w:val="auto"/>
          <w:sz w:val="20"/>
          <w:szCs w:val="20"/>
          <w:highlight w:val="none"/>
        </w:rPr>
        <w:t>条   服务</w:t>
      </w:r>
      <w:r>
        <w:rPr>
          <w:rFonts w:hint="eastAsia" w:ascii="宋体" w:hAnsi="宋体" w:eastAsia="宋体" w:cs="宋体"/>
          <w:b/>
          <w:bCs w:val="0"/>
          <w:color w:val="auto"/>
          <w:sz w:val="20"/>
          <w:szCs w:val="20"/>
          <w:highlight w:val="none"/>
          <w:lang w:eastAsia="zh-CN"/>
        </w:rPr>
        <w:t>地点及</w:t>
      </w:r>
      <w:r>
        <w:rPr>
          <w:rFonts w:hint="eastAsia" w:ascii="宋体" w:hAnsi="宋体" w:eastAsia="宋体" w:cs="宋体"/>
          <w:b/>
          <w:bCs w:val="0"/>
          <w:color w:val="auto"/>
          <w:sz w:val="20"/>
          <w:szCs w:val="20"/>
          <w:highlight w:val="none"/>
        </w:rPr>
        <w:t>期限</w:t>
      </w:r>
    </w:p>
    <w:p w14:paraId="2765BF4E">
      <w:pPr>
        <w:spacing w:line="360" w:lineRule="auto"/>
        <w:ind w:firstLine="400" w:firstLineChars="200"/>
        <w:rPr>
          <w:rFonts w:hint="eastAsia" w:ascii="宋体" w:hAnsi="宋体" w:eastAsia="宋体" w:cs="宋体"/>
          <w:bCs/>
          <w:i w:val="0"/>
          <w:iCs w:val="0"/>
          <w:color w:val="auto"/>
          <w:sz w:val="20"/>
          <w:szCs w:val="20"/>
          <w:highlight w:val="none"/>
          <w:u w:val="single"/>
          <w:lang w:eastAsia="zh-CN"/>
        </w:rPr>
      </w:pPr>
      <w:r>
        <w:rPr>
          <w:rFonts w:hint="eastAsia" w:ascii="宋体" w:hAnsi="宋体" w:eastAsia="宋体" w:cs="宋体"/>
          <w:bCs/>
          <w:color w:val="auto"/>
          <w:sz w:val="20"/>
          <w:szCs w:val="20"/>
          <w:highlight w:val="none"/>
          <w:u w:val="none"/>
          <w:lang w:val="en-US" w:eastAsia="zh-CN"/>
        </w:rPr>
        <w:t>3</w:t>
      </w:r>
      <w:r>
        <w:rPr>
          <w:rFonts w:hint="eastAsia" w:ascii="宋体" w:hAnsi="宋体" w:eastAsia="宋体" w:cs="宋体"/>
          <w:bCs/>
          <w:color w:val="auto"/>
          <w:sz w:val="20"/>
          <w:szCs w:val="20"/>
          <w:highlight w:val="none"/>
          <w:u w:val="none"/>
        </w:rPr>
        <w:t>.1 项目名称：</w:t>
      </w:r>
      <w:r>
        <w:rPr>
          <w:rFonts w:hint="eastAsia" w:ascii="宋体" w:hAnsi="宋体" w:eastAsia="宋体" w:cs="宋体"/>
          <w:bCs/>
          <w:i w:val="0"/>
          <w:iCs w:val="0"/>
          <w:color w:val="auto"/>
          <w:sz w:val="20"/>
          <w:szCs w:val="20"/>
          <w:highlight w:val="none"/>
          <w:u w:val="single"/>
          <w:lang w:eastAsia="zh-CN"/>
        </w:rPr>
        <w:t>2026年统计工作辅助服务项目。</w:t>
      </w:r>
    </w:p>
    <w:p w14:paraId="2B1D46ED">
      <w:pPr>
        <w:spacing w:line="360" w:lineRule="auto"/>
        <w:ind w:firstLine="400" w:firstLineChars="200"/>
        <w:rPr>
          <w:rFonts w:hint="default" w:ascii="宋体" w:hAnsi="宋体" w:eastAsia="宋体" w:cs="宋体"/>
          <w:bCs/>
          <w:i w:val="0"/>
          <w:iCs w:val="0"/>
          <w:color w:val="auto"/>
          <w:sz w:val="20"/>
          <w:szCs w:val="20"/>
          <w:highlight w:val="none"/>
          <w:u w:val="single"/>
          <w:lang w:val="en-US" w:eastAsia="zh-CN"/>
        </w:rPr>
      </w:pPr>
      <w:r>
        <w:rPr>
          <w:rFonts w:hint="eastAsia" w:ascii="宋体" w:hAnsi="宋体" w:eastAsia="宋体" w:cs="宋体"/>
          <w:bCs/>
          <w:i w:val="0"/>
          <w:iCs w:val="0"/>
          <w:color w:val="auto"/>
          <w:sz w:val="20"/>
          <w:szCs w:val="20"/>
          <w:highlight w:val="none"/>
          <w:u w:val="none"/>
          <w:lang w:val="en-US" w:eastAsia="zh-CN"/>
        </w:rPr>
        <w:t>3.2 服务地点：</w:t>
      </w:r>
      <w:r>
        <w:rPr>
          <w:rFonts w:hint="eastAsia" w:ascii="宋体" w:hAnsi="宋体" w:eastAsia="宋体" w:cs="宋体"/>
          <w:bCs/>
          <w:i w:val="0"/>
          <w:iCs w:val="0"/>
          <w:color w:val="auto"/>
          <w:sz w:val="20"/>
          <w:szCs w:val="20"/>
          <w:highlight w:val="none"/>
          <w:u w:val="single"/>
          <w:lang w:val="en-US" w:eastAsia="zh-CN"/>
        </w:rPr>
        <w:t>甲方指定地点</w:t>
      </w:r>
    </w:p>
    <w:p w14:paraId="72754CD5">
      <w:pPr>
        <w:spacing w:line="360" w:lineRule="auto"/>
        <w:ind w:firstLine="400" w:firstLineChars="200"/>
        <w:rPr>
          <w:rFonts w:hint="eastAsia" w:ascii="宋体" w:hAnsi="宋体"/>
          <w:color w:val="auto"/>
          <w:sz w:val="20"/>
          <w:szCs w:val="20"/>
          <w:highlight w:val="none"/>
          <w:lang w:eastAsia="zh-CN"/>
        </w:rPr>
      </w:pPr>
      <w:r>
        <w:rPr>
          <w:rFonts w:hint="eastAsia" w:ascii="宋体" w:hAnsi="宋体" w:eastAsia="宋体" w:cs="宋体"/>
          <w:bCs/>
          <w:color w:val="auto"/>
          <w:sz w:val="20"/>
          <w:szCs w:val="20"/>
          <w:highlight w:val="none"/>
          <w:u w:val="none"/>
          <w:lang w:val="en-US" w:eastAsia="zh-CN"/>
        </w:rPr>
        <w:t>3</w:t>
      </w:r>
      <w:r>
        <w:rPr>
          <w:rFonts w:hint="eastAsia" w:ascii="宋体" w:hAnsi="宋体" w:eastAsia="宋体" w:cs="宋体"/>
          <w:bCs/>
          <w:color w:val="auto"/>
          <w:sz w:val="20"/>
          <w:szCs w:val="20"/>
          <w:highlight w:val="none"/>
          <w:u w:val="none"/>
        </w:rPr>
        <w:t>.</w:t>
      </w:r>
      <w:r>
        <w:rPr>
          <w:rFonts w:hint="eastAsia" w:ascii="宋体" w:hAnsi="宋体" w:eastAsia="宋体" w:cs="宋体"/>
          <w:bCs/>
          <w:color w:val="auto"/>
          <w:sz w:val="20"/>
          <w:szCs w:val="20"/>
          <w:highlight w:val="none"/>
          <w:u w:val="none"/>
          <w:lang w:val="en-US" w:eastAsia="zh-CN"/>
        </w:rPr>
        <w:t>3</w:t>
      </w:r>
      <w:r>
        <w:rPr>
          <w:rFonts w:hint="eastAsia" w:ascii="宋体" w:hAnsi="宋体" w:eastAsia="宋体" w:cs="宋体"/>
          <w:bCs/>
          <w:color w:val="auto"/>
          <w:sz w:val="20"/>
          <w:szCs w:val="20"/>
          <w:highlight w:val="none"/>
          <w:u w:val="none"/>
        </w:rPr>
        <w:t xml:space="preserve"> 服务周期：</w:t>
      </w:r>
      <w:r>
        <w:rPr>
          <w:rFonts w:hint="eastAsia" w:ascii="宋体" w:hAnsi="宋体" w:eastAsia="宋体" w:cs="宋体"/>
          <w:bCs/>
          <w:color w:val="auto"/>
          <w:sz w:val="20"/>
          <w:szCs w:val="20"/>
          <w:highlight w:val="none"/>
          <w:u w:val="single"/>
        </w:rPr>
        <w:t>自合同签订之日起至2026年12月31日止</w:t>
      </w:r>
      <w:r>
        <w:rPr>
          <w:rFonts w:hint="eastAsia" w:ascii="宋体" w:hAnsi="宋体"/>
          <w:color w:val="auto"/>
          <w:sz w:val="20"/>
          <w:szCs w:val="20"/>
          <w:highlight w:val="none"/>
          <w:lang w:eastAsia="zh-CN"/>
        </w:rPr>
        <w:t>。</w:t>
      </w:r>
    </w:p>
    <w:p w14:paraId="5A9E2A4C">
      <w:pPr>
        <w:numPr>
          <w:ilvl w:val="0"/>
          <w:numId w:val="1"/>
        </w:numPr>
        <w:spacing w:line="360" w:lineRule="auto"/>
        <w:ind w:firstLine="402" w:firstLineChars="200"/>
        <w:rPr>
          <w:rFonts w:hint="eastAsia" w:ascii="宋体" w:hAnsi="宋体" w:eastAsia="宋体" w:cs="宋体"/>
          <w:b/>
          <w:bCs w:val="0"/>
          <w:color w:val="auto"/>
          <w:sz w:val="20"/>
          <w:szCs w:val="20"/>
          <w:highlight w:val="none"/>
        </w:rPr>
      </w:pPr>
      <w:r>
        <w:rPr>
          <w:rFonts w:hint="eastAsia" w:ascii="宋体" w:hAnsi="宋体" w:eastAsia="宋体" w:cs="宋体"/>
          <w:b/>
          <w:bCs w:val="0"/>
          <w:color w:val="auto"/>
          <w:sz w:val="20"/>
          <w:szCs w:val="20"/>
          <w:highlight w:val="none"/>
        </w:rPr>
        <w:t xml:space="preserve">  服务费用及支付方式</w:t>
      </w:r>
    </w:p>
    <w:p w14:paraId="7B9F40EE">
      <w:pPr>
        <w:spacing w:line="360" w:lineRule="auto"/>
        <w:ind w:firstLine="400" w:firstLineChars="200"/>
        <w:rPr>
          <w:rFonts w:hint="eastAsia" w:ascii="宋体" w:hAnsi="宋体"/>
          <w:color w:val="auto"/>
          <w:sz w:val="20"/>
          <w:szCs w:val="20"/>
          <w:highlight w:val="none"/>
        </w:rPr>
      </w:pPr>
      <w:r>
        <w:rPr>
          <w:rFonts w:hint="eastAsia" w:ascii="宋体" w:hAnsi="宋体"/>
          <w:color w:val="auto"/>
          <w:sz w:val="20"/>
          <w:szCs w:val="20"/>
          <w:highlight w:val="none"/>
        </w:rPr>
        <w:t>1、服务费按下列比例支付价款：</w:t>
      </w:r>
    </w:p>
    <w:p w14:paraId="0813A98E">
      <w:pPr>
        <w:spacing w:line="360" w:lineRule="auto"/>
        <w:ind w:firstLine="400" w:firstLineChars="200"/>
        <w:rPr>
          <w:rFonts w:hint="eastAsia" w:ascii="宋体" w:hAnsi="宋体" w:eastAsia="宋体" w:cs="Times New Roman"/>
          <w:color w:val="auto"/>
          <w:sz w:val="20"/>
          <w:szCs w:val="20"/>
          <w:highlight w:val="none"/>
        </w:rPr>
      </w:pPr>
      <w:r>
        <w:rPr>
          <w:rFonts w:hint="eastAsia" w:ascii="宋体" w:hAnsi="宋体" w:eastAsia="宋体" w:cs="Times New Roman"/>
          <w:color w:val="auto"/>
          <w:sz w:val="20"/>
          <w:szCs w:val="20"/>
          <w:highlight w:val="none"/>
          <w:lang w:val="en-US" w:eastAsia="zh-CN"/>
        </w:rPr>
        <w:t>1.1</w:t>
      </w:r>
      <w:r>
        <w:rPr>
          <w:rFonts w:hint="eastAsia" w:ascii="宋体" w:hAnsi="宋体" w:eastAsia="宋体" w:cs="宋体"/>
          <w:bCs/>
          <w:color w:val="auto"/>
          <w:sz w:val="20"/>
          <w:szCs w:val="20"/>
          <w:highlight w:val="none"/>
          <w:lang w:val="en-US" w:eastAsia="zh-CN"/>
        </w:rPr>
        <w:t>、本合同为总价合同，合同总价为乙方完成本项目全部工作内容，责任、义务和风险的总价款，除合同另有约定外，合同总价不作调整。合同总价包括乙方为完成本项目所必须的人员费、项目管理费、项目成果交付等其他一切费用，及全部相关税费。</w:t>
      </w:r>
    </w:p>
    <w:p w14:paraId="149B9680">
      <w:pPr>
        <w:spacing w:line="360" w:lineRule="auto"/>
        <w:ind w:firstLine="402" w:firstLineChars="200"/>
        <w:rPr>
          <w:rFonts w:hint="eastAsia" w:ascii="宋体" w:hAnsi="宋体" w:eastAsia="宋体" w:cs="Times New Roman"/>
          <w:b/>
          <w:bCs w:val="0"/>
          <w:color w:val="auto"/>
          <w:sz w:val="20"/>
          <w:szCs w:val="20"/>
          <w:highlight w:val="none"/>
        </w:rPr>
      </w:pPr>
      <w:r>
        <w:rPr>
          <w:rFonts w:hint="eastAsia" w:ascii="宋体" w:hAnsi="宋体" w:eastAsia="宋体" w:cs="宋体"/>
          <w:b/>
          <w:bCs w:val="0"/>
          <w:color w:val="auto"/>
          <w:sz w:val="20"/>
          <w:szCs w:val="20"/>
          <w:highlight w:val="none"/>
          <w:lang w:val="en-US" w:eastAsia="zh-CN"/>
        </w:rPr>
        <w:t>本合同含税总价为人民币</w:t>
      </w:r>
      <w:r>
        <w:rPr>
          <w:rFonts w:hint="eastAsia" w:ascii="宋体" w:hAnsi="宋体" w:eastAsia="宋体" w:cs="Times New Roman"/>
          <w:b/>
          <w:bCs w:val="0"/>
          <w:color w:val="auto"/>
          <w:sz w:val="20"/>
          <w:szCs w:val="20"/>
          <w:highlight w:val="none"/>
        </w:rPr>
        <w:t>（大写）</w:t>
      </w:r>
      <w:r>
        <w:rPr>
          <w:rFonts w:hint="eastAsia" w:ascii="宋体" w:hAnsi="宋体" w:eastAsia="宋体" w:cs="Times New Roman"/>
          <w:b/>
          <w:bCs w:val="0"/>
          <w:color w:val="auto"/>
          <w:sz w:val="20"/>
          <w:szCs w:val="20"/>
          <w:highlight w:val="none"/>
          <w:u w:val="single"/>
        </w:rPr>
        <w:t xml:space="preserve">：                 </w:t>
      </w:r>
      <w:r>
        <w:rPr>
          <w:rFonts w:hint="eastAsia" w:ascii="宋体" w:hAnsi="宋体" w:eastAsia="宋体" w:cs="Times New Roman"/>
          <w:b/>
          <w:bCs w:val="0"/>
          <w:color w:val="auto"/>
          <w:sz w:val="20"/>
          <w:szCs w:val="20"/>
          <w:highlight w:val="none"/>
        </w:rPr>
        <w:t>(</w:t>
      </w:r>
      <w:r>
        <w:rPr>
          <w:rFonts w:hint="eastAsia" w:ascii="宋体" w:hAnsi="宋体" w:eastAsia="宋体" w:cs="Times New Roman"/>
          <w:b/>
          <w:bCs w:val="0"/>
          <w:color w:val="auto"/>
          <w:sz w:val="20"/>
          <w:szCs w:val="20"/>
          <w:highlight w:val="none"/>
          <w:lang w:val="en-US" w:eastAsia="zh-CN"/>
        </w:rPr>
        <w:t>小写</w:t>
      </w:r>
      <w:r>
        <w:rPr>
          <w:rFonts w:hint="eastAsia" w:ascii="宋体" w:hAnsi="宋体" w:eastAsia="宋体" w:cs="Times New Roman"/>
          <w:b/>
          <w:bCs w:val="0"/>
          <w:color w:val="auto"/>
          <w:sz w:val="20"/>
          <w:szCs w:val="20"/>
          <w:highlight w:val="none"/>
        </w:rPr>
        <w:t>¥</w:t>
      </w:r>
      <w:r>
        <w:rPr>
          <w:rFonts w:hint="eastAsia" w:ascii="宋体" w:hAnsi="宋体" w:eastAsia="宋体" w:cs="Times New Roman"/>
          <w:b/>
          <w:bCs w:val="0"/>
          <w:color w:val="auto"/>
          <w:sz w:val="20"/>
          <w:szCs w:val="20"/>
          <w:highlight w:val="none"/>
          <w:u w:val="single"/>
        </w:rPr>
        <w:t xml:space="preserve">         </w:t>
      </w:r>
      <w:r>
        <w:rPr>
          <w:rFonts w:hint="eastAsia" w:ascii="宋体" w:hAnsi="宋体" w:eastAsia="宋体" w:cs="Times New Roman"/>
          <w:b/>
          <w:bCs w:val="0"/>
          <w:color w:val="auto"/>
          <w:sz w:val="20"/>
          <w:szCs w:val="20"/>
          <w:highlight w:val="none"/>
        </w:rPr>
        <w:t xml:space="preserve">) </w:t>
      </w:r>
    </w:p>
    <w:p w14:paraId="6DABB6CB">
      <w:pPr>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lang w:val="en-US" w:eastAsia="zh-CN"/>
        </w:rPr>
        <w:t>1.3、</w:t>
      </w:r>
      <w:r>
        <w:rPr>
          <w:rFonts w:hint="eastAsia" w:ascii="宋体" w:hAnsi="宋体" w:eastAsia="宋体" w:cs="宋体"/>
          <w:bCs/>
          <w:color w:val="auto"/>
          <w:sz w:val="20"/>
          <w:szCs w:val="20"/>
          <w:highlight w:val="none"/>
        </w:rPr>
        <w:t>结算方式：</w:t>
      </w:r>
      <w:r>
        <w:rPr>
          <w:rFonts w:hint="eastAsia" w:ascii="宋体" w:hAnsi="宋体" w:eastAsia="宋体" w:cs="宋体"/>
          <w:bCs/>
          <w:color w:val="auto"/>
          <w:sz w:val="20"/>
          <w:szCs w:val="20"/>
          <w:highlight w:val="none"/>
          <w:u w:val="single"/>
        </w:rPr>
        <w:t>银行转账。</w:t>
      </w:r>
    </w:p>
    <w:p w14:paraId="14A1D3D9">
      <w:pPr>
        <w:spacing w:line="360" w:lineRule="auto"/>
        <w:ind w:firstLine="400" w:firstLineChars="200"/>
        <w:rPr>
          <w:rFonts w:hint="eastAsia" w:ascii="宋体" w:hAnsi="宋体" w:eastAsia="宋体" w:cs="宋体"/>
          <w:bCs/>
          <w:color w:val="auto"/>
          <w:sz w:val="20"/>
          <w:szCs w:val="20"/>
          <w:highlight w:val="none"/>
          <w:u w:val="single"/>
          <w:lang w:eastAsia="zh-CN"/>
        </w:rPr>
      </w:pPr>
      <w:r>
        <w:rPr>
          <w:rFonts w:hint="eastAsia" w:ascii="宋体" w:hAnsi="宋体" w:eastAsia="宋体" w:cs="宋体"/>
          <w:bCs/>
          <w:color w:val="auto"/>
          <w:sz w:val="20"/>
          <w:szCs w:val="20"/>
          <w:highlight w:val="none"/>
          <w:lang w:val="en-US" w:eastAsia="zh-CN"/>
        </w:rPr>
        <w:t>1.4、</w:t>
      </w:r>
      <w:r>
        <w:rPr>
          <w:rFonts w:hint="eastAsia" w:ascii="宋体" w:hAnsi="宋体" w:eastAsia="宋体" w:cs="宋体"/>
          <w:bCs/>
          <w:color w:val="auto"/>
          <w:sz w:val="20"/>
          <w:szCs w:val="20"/>
          <w:highlight w:val="none"/>
        </w:rPr>
        <w:t>支付方式：</w:t>
      </w:r>
      <w:r>
        <w:rPr>
          <w:rFonts w:hint="eastAsia" w:ascii="宋体" w:hAnsi="宋体" w:eastAsia="宋体" w:cs="宋体"/>
          <w:bCs/>
          <w:color w:val="auto"/>
          <w:sz w:val="20"/>
          <w:szCs w:val="20"/>
          <w:highlight w:val="none"/>
          <w:u w:val="single"/>
          <w:lang w:val="en-US" w:eastAsia="zh-CN"/>
        </w:rPr>
        <w:t>分期</w:t>
      </w:r>
      <w:r>
        <w:rPr>
          <w:rFonts w:hint="eastAsia" w:ascii="宋体" w:hAnsi="宋体" w:eastAsia="宋体" w:cs="宋体"/>
          <w:bCs/>
          <w:color w:val="auto"/>
          <w:sz w:val="20"/>
          <w:szCs w:val="20"/>
          <w:highlight w:val="none"/>
          <w:u w:val="single"/>
        </w:rPr>
        <w:t>支付</w:t>
      </w:r>
      <w:r>
        <w:rPr>
          <w:rFonts w:hint="eastAsia" w:ascii="宋体" w:hAnsi="宋体" w:eastAsia="宋体" w:cs="宋体"/>
          <w:bCs/>
          <w:color w:val="auto"/>
          <w:sz w:val="20"/>
          <w:szCs w:val="20"/>
          <w:highlight w:val="none"/>
          <w:u w:val="single"/>
          <w:lang w:eastAsia="zh-CN"/>
        </w:rPr>
        <w:t>。</w:t>
      </w:r>
    </w:p>
    <w:p w14:paraId="212EFACC">
      <w:pPr>
        <w:spacing w:line="360" w:lineRule="auto"/>
        <w:ind w:firstLine="400" w:firstLineChars="200"/>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1.5、付款条件说明：</w:t>
      </w:r>
      <w:r>
        <w:rPr>
          <w:rFonts w:hint="eastAsia" w:ascii="宋体" w:hAnsi="宋体" w:eastAsia="宋体" w:cs="宋体"/>
          <w:bCs/>
          <w:color w:val="auto"/>
          <w:sz w:val="20"/>
          <w:szCs w:val="20"/>
          <w:highlight w:val="none"/>
          <w:u w:val="single"/>
          <w:lang w:val="en-US" w:eastAsia="zh-CN"/>
        </w:rPr>
        <w:t>本项目不设置预付款；</w:t>
      </w:r>
    </w:p>
    <w:p w14:paraId="5117BDE8">
      <w:pPr>
        <w:spacing w:line="360" w:lineRule="auto"/>
        <w:ind w:firstLine="400" w:firstLineChars="200"/>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 xml:space="preserve">1.6、预付款金额：/ </w:t>
      </w:r>
    </w:p>
    <w:p w14:paraId="2F5B0D20">
      <w:pPr>
        <w:pStyle w:val="7"/>
        <w:spacing w:line="360" w:lineRule="auto"/>
        <w:ind w:firstLine="400" w:firstLineChars="200"/>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1.7、支付条款：</w:t>
      </w:r>
    </w:p>
    <w:p w14:paraId="466E90B4">
      <w:pPr>
        <w:spacing w:line="360" w:lineRule="auto"/>
        <w:ind w:firstLine="400" w:firstLineChars="200"/>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付款条件说明：</w:t>
      </w:r>
    </w:p>
    <w:p w14:paraId="2C189423">
      <w:pPr>
        <w:pStyle w:val="7"/>
        <w:spacing w:line="360" w:lineRule="auto"/>
        <w:ind w:firstLine="400" w:firstLineChars="200"/>
        <w:rPr>
          <w:rFonts w:hint="eastAsia"/>
          <w:color w:val="auto"/>
          <w:highlight w:val="none"/>
          <w:u w:val="none"/>
        </w:rPr>
      </w:pPr>
      <w:r>
        <w:rPr>
          <w:rFonts w:hint="eastAsia"/>
          <w:color w:val="auto"/>
          <w:highlight w:val="none"/>
          <w:u w:val="none"/>
          <w:lang w:val="en-US" w:eastAsia="zh-CN"/>
        </w:rPr>
        <w:t>①</w:t>
      </w:r>
      <w:r>
        <w:rPr>
          <w:rFonts w:hint="eastAsia"/>
          <w:color w:val="auto"/>
          <w:highlight w:val="none"/>
          <w:u w:val="none"/>
        </w:rPr>
        <w:t>付款条件说明：第一期付款，项目团队按要求</w:t>
      </w:r>
      <w:r>
        <w:rPr>
          <w:rFonts w:hint="eastAsia"/>
          <w:color w:val="auto"/>
          <w:highlight w:val="none"/>
          <w:u w:val="none"/>
          <w:lang w:eastAsia="zh-CN"/>
        </w:rPr>
        <w:t>组织开展第一阶段专业</w:t>
      </w:r>
      <w:r>
        <w:rPr>
          <w:rFonts w:hint="eastAsia"/>
          <w:color w:val="auto"/>
          <w:highlight w:val="none"/>
          <w:u w:val="none"/>
        </w:rPr>
        <w:t>统计</w:t>
      </w:r>
      <w:r>
        <w:rPr>
          <w:rFonts w:hint="eastAsia"/>
          <w:color w:val="auto"/>
          <w:highlight w:val="none"/>
          <w:u w:val="none"/>
          <w:lang w:eastAsia="zh-CN"/>
        </w:rPr>
        <w:t>工作</w:t>
      </w:r>
      <w:r>
        <w:rPr>
          <w:rFonts w:hint="eastAsia"/>
          <w:color w:val="auto"/>
          <w:highlight w:val="none"/>
          <w:u w:val="none"/>
        </w:rPr>
        <w:t>、企业统计工作培训及其他统计工作交办事项，经甲方确认后，支付合同总金额</w:t>
      </w:r>
      <w:r>
        <w:rPr>
          <w:rFonts w:hint="eastAsia"/>
          <w:color w:val="auto"/>
          <w:highlight w:val="none"/>
          <w:u w:val="none"/>
          <w:lang w:val="en-US" w:eastAsia="zh-CN"/>
        </w:rPr>
        <w:t>50</w:t>
      </w:r>
      <w:r>
        <w:rPr>
          <w:rFonts w:hint="eastAsia"/>
          <w:color w:val="auto"/>
          <w:highlight w:val="none"/>
          <w:u w:val="none"/>
        </w:rPr>
        <w:t>%，达到付款条件起 30 日内，支付合同总金额的</w:t>
      </w:r>
      <w:r>
        <w:rPr>
          <w:rFonts w:hint="eastAsia"/>
          <w:color w:val="auto"/>
          <w:highlight w:val="none"/>
          <w:u w:val="none"/>
          <w:lang w:val="en-US" w:eastAsia="zh-CN"/>
        </w:rPr>
        <w:t>50</w:t>
      </w:r>
      <w:r>
        <w:rPr>
          <w:rFonts w:hint="eastAsia"/>
          <w:color w:val="auto"/>
          <w:highlight w:val="none"/>
          <w:u w:val="none"/>
        </w:rPr>
        <w:t>%。</w:t>
      </w:r>
    </w:p>
    <w:p w14:paraId="5D38291D">
      <w:pPr>
        <w:pStyle w:val="7"/>
        <w:spacing w:line="360" w:lineRule="auto"/>
        <w:ind w:firstLine="400" w:firstLineChars="200"/>
        <w:rPr>
          <w:rFonts w:hint="eastAsia"/>
          <w:color w:val="auto"/>
          <w:highlight w:val="none"/>
          <w:u w:val="none"/>
        </w:rPr>
      </w:pPr>
      <w:r>
        <w:rPr>
          <w:rFonts w:hint="eastAsia"/>
          <w:color w:val="auto"/>
          <w:highlight w:val="none"/>
          <w:u w:val="none"/>
          <w:lang w:val="en-US" w:eastAsia="zh-CN"/>
        </w:rPr>
        <w:t>②</w:t>
      </w:r>
      <w:r>
        <w:rPr>
          <w:rFonts w:hint="eastAsia"/>
          <w:color w:val="auto"/>
          <w:highlight w:val="none"/>
          <w:u w:val="none"/>
        </w:rPr>
        <w:t>付款条件说明：第二期付款，项目团队按要求</w:t>
      </w:r>
      <w:r>
        <w:rPr>
          <w:rFonts w:hint="eastAsia"/>
          <w:color w:val="auto"/>
          <w:highlight w:val="none"/>
          <w:u w:val="none"/>
          <w:lang w:eastAsia="zh-CN"/>
        </w:rPr>
        <w:t>组织开展</w:t>
      </w:r>
      <w:r>
        <w:rPr>
          <w:rFonts w:hint="eastAsia"/>
          <w:color w:val="auto"/>
          <w:highlight w:val="none"/>
          <w:u w:val="none"/>
        </w:rPr>
        <w:t>第</w:t>
      </w:r>
      <w:r>
        <w:rPr>
          <w:rFonts w:hint="eastAsia"/>
          <w:color w:val="auto"/>
          <w:highlight w:val="none"/>
          <w:u w:val="none"/>
          <w:lang w:eastAsia="zh-CN"/>
        </w:rPr>
        <w:t>二阶段专业</w:t>
      </w:r>
      <w:r>
        <w:rPr>
          <w:rFonts w:hint="eastAsia"/>
          <w:color w:val="auto"/>
          <w:highlight w:val="none"/>
          <w:u w:val="none"/>
        </w:rPr>
        <w:t>统计</w:t>
      </w:r>
      <w:r>
        <w:rPr>
          <w:rFonts w:hint="eastAsia"/>
          <w:color w:val="auto"/>
          <w:highlight w:val="none"/>
          <w:u w:val="none"/>
          <w:lang w:eastAsia="zh-CN"/>
        </w:rPr>
        <w:t>工作</w:t>
      </w:r>
      <w:r>
        <w:rPr>
          <w:rFonts w:hint="eastAsia"/>
          <w:color w:val="auto"/>
          <w:highlight w:val="none"/>
          <w:u w:val="none"/>
        </w:rPr>
        <w:t>，并开展数据质量核查，及完成其他统计工作交办事项，经甲方确认后，支付至合同总金额</w:t>
      </w:r>
      <w:r>
        <w:rPr>
          <w:rFonts w:hint="eastAsia"/>
          <w:color w:val="auto"/>
          <w:highlight w:val="none"/>
          <w:u w:val="none"/>
          <w:lang w:val="en-US" w:eastAsia="zh-CN"/>
        </w:rPr>
        <w:t>75</w:t>
      </w:r>
      <w:r>
        <w:rPr>
          <w:rFonts w:hint="eastAsia"/>
          <w:color w:val="auto"/>
          <w:highlight w:val="none"/>
          <w:u w:val="none"/>
        </w:rPr>
        <w:t>%，达到付款条件起 30 日内，支付合同总金额的</w:t>
      </w:r>
      <w:r>
        <w:rPr>
          <w:rFonts w:hint="eastAsia"/>
          <w:color w:val="auto"/>
          <w:highlight w:val="none"/>
          <w:u w:val="none"/>
          <w:lang w:val="en-US" w:eastAsia="zh-CN"/>
        </w:rPr>
        <w:t>25</w:t>
      </w:r>
      <w:r>
        <w:rPr>
          <w:rFonts w:hint="eastAsia"/>
          <w:color w:val="auto"/>
          <w:highlight w:val="none"/>
          <w:u w:val="none"/>
        </w:rPr>
        <w:t>%。</w:t>
      </w:r>
    </w:p>
    <w:p w14:paraId="6E21D534">
      <w:pPr>
        <w:pStyle w:val="7"/>
        <w:spacing w:line="360" w:lineRule="auto"/>
        <w:ind w:firstLine="400" w:firstLineChars="200"/>
        <w:rPr>
          <w:rFonts w:hint="eastAsia" w:ascii="宋体" w:hAnsi="宋体" w:eastAsia="宋体" w:cs="宋体"/>
          <w:bCs/>
          <w:color w:val="auto"/>
          <w:sz w:val="20"/>
          <w:szCs w:val="20"/>
          <w:highlight w:val="none"/>
          <w:u w:val="none"/>
          <w:lang w:val="en-US" w:eastAsia="zh-CN"/>
        </w:rPr>
      </w:pPr>
      <w:r>
        <w:rPr>
          <w:rFonts w:hint="eastAsia"/>
          <w:color w:val="auto"/>
          <w:highlight w:val="none"/>
          <w:u w:val="none"/>
          <w:lang w:val="en-US" w:eastAsia="zh-CN"/>
        </w:rPr>
        <w:t>③</w:t>
      </w:r>
      <w:r>
        <w:rPr>
          <w:rFonts w:hint="eastAsia"/>
          <w:color w:val="auto"/>
          <w:highlight w:val="none"/>
          <w:u w:val="none"/>
        </w:rPr>
        <w:t>付款条件说明：第三期付款，项目团队按要求</w:t>
      </w:r>
      <w:r>
        <w:rPr>
          <w:rFonts w:hint="eastAsia"/>
          <w:color w:val="auto"/>
          <w:highlight w:val="none"/>
          <w:u w:val="none"/>
          <w:lang w:eastAsia="zh-CN"/>
        </w:rPr>
        <w:t>组织开展</w:t>
      </w:r>
      <w:r>
        <w:rPr>
          <w:rFonts w:hint="eastAsia"/>
          <w:color w:val="auto"/>
          <w:highlight w:val="none"/>
          <w:u w:val="none"/>
        </w:rPr>
        <w:t>第</w:t>
      </w:r>
      <w:r>
        <w:rPr>
          <w:rFonts w:hint="eastAsia"/>
          <w:color w:val="auto"/>
          <w:highlight w:val="none"/>
          <w:u w:val="none"/>
          <w:lang w:eastAsia="zh-CN"/>
        </w:rPr>
        <w:t>三阶段专业</w:t>
      </w:r>
      <w:r>
        <w:rPr>
          <w:rFonts w:hint="eastAsia"/>
          <w:color w:val="auto"/>
          <w:highlight w:val="none"/>
          <w:u w:val="none"/>
        </w:rPr>
        <w:t>统计</w:t>
      </w:r>
      <w:r>
        <w:rPr>
          <w:rFonts w:hint="eastAsia"/>
          <w:color w:val="auto"/>
          <w:highlight w:val="none"/>
          <w:u w:val="none"/>
          <w:lang w:eastAsia="zh-CN"/>
        </w:rPr>
        <w:t>工作、</w:t>
      </w:r>
      <w:r>
        <w:rPr>
          <w:rFonts w:hint="eastAsia"/>
          <w:color w:val="auto"/>
          <w:highlight w:val="none"/>
          <w:u w:val="none"/>
        </w:rPr>
        <w:t>数据汇总整理、新增企业纳统及其他统计调查工作交办事项，经甲方验收合格后，付至合同总金额</w:t>
      </w:r>
      <w:r>
        <w:rPr>
          <w:rFonts w:hint="eastAsia"/>
          <w:color w:val="auto"/>
          <w:highlight w:val="none"/>
          <w:u w:val="none"/>
          <w:lang w:val="en-US" w:eastAsia="zh-CN"/>
        </w:rPr>
        <w:t>100</w:t>
      </w:r>
      <w:r>
        <w:rPr>
          <w:rFonts w:hint="eastAsia"/>
          <w:color w:val="auto"/>
          <w:highlight w:val="none"/>
          <w:u w:val="none"/>
        </w:rPr>
        <w:t>%，达到付款条件起 30 日内，支付合同总金额的</w:t>
      </w:r>
      <w:r>
        <w:rPr>
          <w:rFonts w:hint="eastAsia"/>
          <w:color w:val="auto"/>
          <w:highlight w:val="none"/>
          <w:u w:val="none"/>
          <w:lang w:val="en-US" w:eastAsia="zh-CN"/>
        </w:rPr>
        <w:t>25</w:t>
      </w:r>
      <w:r>
        <w:rPr>
          <w:rFonts w:hint="eastAsia"/>
          <w:color w:val="auto"/>
          <w:highlight w:val="none"/>
          <w:u w:val="none"/>
        </w:rPr>
        <w:t>%。</w:t>
      </w:r>
    </w:p>
    <w:p w14:paraId="66D89259">
      <w:pPr>
        <w:spacing w:line="360" w:lineRule="auto"/>
        <w:ind w:firstLine="400" w:firstLineChars="200"/>
        <w:rPr>
          <w:rFonts w:hint="default"/>
          <w:highlight w:val="none"/>
          <w:lang w:val="en-US" w:eastAsia="zh-CN"/>
        </w:rPr>
      </w:pPr>
      <w:r>
        <w:rPr>
          <w:rFonts w:hint="eastAsia" w:ascii="宋体" w:hAnsi="宋体" w:eastAsia="宋体" w:cs="宋体"/>
          <w:bCs/>
          <w:sz w:val="20"/>
          <w:szCs w:val="20"/>
          <w:highlight w:val="none"/>
          <w:u w:val="single"/>
          <w:lang w:val="en-US" w:eastAsia="zh-CN"/>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r>
        <w:rPr>
          <w:rFonts w:hint="eastAsia" w:ascii="宋体" w:hAnsi="宋体" w:eastAsia="宋体" w:cs="宋体"/>
          <w:bCs/>
          <w:sz w:val="20"/>
          <w:szCs w:val="20"/>
          <w:highlight w:val="none"/>
          <w:lang w:val="en-US" w:eastAsia="zh-CN"/>
        </w:rPr>
        <w:t>。</w:t>
      </w:r>
    </w:p>
    <w:p w14:paraId="75F8EC7B">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2.结算方式：银行转账。</w:t>
      </w:r>
    </w:p>
    <w:p w14:paraId="0EB09A25">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3.乙方收款账户</w:t>
      </w:r>
    </w:p>
    <w:p w14:paraId="74676DCF">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账户名称：</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 xml:space="preserve">     </w:t>
      </w:r>
    </w:p>
    <w:p w14:paraId="11A1B0FF">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开户银行：</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 xml:space="preserve">       </w:t>
      </w:r>
    </w:p>
    <w:p w14:paraId="66DAB5B6">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银行账号：</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 xml:space="preserve">     </w:t>
      </w:r>
    </w:p>
    <w:p w14:paraId="5B7160DC">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第五条  甲方的权利和义务</w:t>
      </w:r>
    </w:p>
    <w:p w14:paraId="6476FD67">
      <w:pPr>
        <w:spacing w:line="360" w:lineRule="auto"/>
        <w:ind w:firstLine="400" w:firstLineChars="200"/>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val="en-US" w:eastAsia="zh-CN"/>
        </w:rPr>
        <w:t>1、甲方有权对乙方提供的服务进行全程监督，包括但不限于服务进度、服务质量、响应效率、技术服务报告提交等方面，并根据双方约定的服务指标和标准进行定期评估，确保乙方提供的服务达到合同约定的要求</w:t>
      </w:r>
      <w:r>
        <w:rPr>
          <w:rFonts w:hint="eastAsia" w:ascii="宋体" w:hAnsi="宋体" w:eastAsia="宋体" w:cs="宋体"/>
          <w:bCs/>
          <w:color w:val="auto"/>
          <w:sz w:val="20"/>
          <w:szCs w:val="20"/>
          <w:highlight w:val="none"/>
          <w:lang w:eastAsia="zh-CN"/>
        </w:rPr>
        <w:t>。乙方服务人员专业能力不足，或违反甲方工作纪律，造成不良影响的，甲方有权要求乙方更换相关人员；</w:t>
      </w:r>
    </w:p>
    <w:p w14:paraId="15C59490">
      <w:pPr>
        <w:spacing w:line="360" w:lineRule="auto"/>
        <w:ind w:firstLine="400" w:firstLineChars="200"/>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val="en-US" w:eastAsia="zh-CN"/>
        </w:rPr>
        <w:t>2、若乙方在服务过程中存在违反合同条款、服务质量不达标、未按时交付技术服务报告或应急响应不及时等违约行为，甲方有权依据合同条款追究乙方的违约责任，并要求乙方采取补救措施或进行赔偿</w:t>
      </w:r>
      <w:r>
        <w:rPr>
          <w:rFonts w:hint="eastAsia" w:ascii="宋体" w:hAnsi="宋体" w:eastAsia="宋体" w:cs="宋体"/>
          <w:bCs/>
          <w:color w:val="auto"/>
          <w:sz w:val="20"/>
          <w:szCs w:val="20"/>
          <w:highlight w:val="none"/>
          <w:lang w:eastAsia="zh-CN"/>
        </w:rPr>
        <w:t>；</w:t>
      </w:r>
    </w:p>
    <w:p w14:paraId="56602994">
      <w:pPr>
        <w:spacing w:line="360" w:lineRule="auto"/>
        <w:ind w:firstLine="400" w:firstLineChars="200"/>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val="en-US" w:eastAsia="zh-CN"/>
        </w:rPr>
        <w:t>3、甲方需明确对相关服务的具体需求，并向乙方提供必要的信息和资料，以便乙方更好地理解和满足甲方的需求</w:t>
      </w:r>
      <w:r>
        <w:rPr>
          <w:rFonts w:hint="eastAsia" w:ascii="宋体" w:hAnsi="宋体" w:eastAsia="宋体" w:cs="宋体"/>
          <w:bCs/>
          <w:color w:val="auto"/>
          <w:sz w:val="20"/>
          <w:szCs w:val="20"/>
          <w:highlight w:val="none"/>
          <w:lang w:eastAsia="zh-CN"/>
        </w:rPr>
        <w:t>；</w:t>
      </w:r>
    </w:p>
    <w:p w14:paraId="1BDB1FD7">
      <w:pPr>
        <w:spacing w:line="360" w:lineRule="auto"/>
        <w:ind w:firstLine="400" w:firstLineChars="200"/>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val="en-US" w:eastAsia="zh-CN"/>
        </w:rPr>
        <w:t>4、</w:t>
      </w:r>
      <w:r>
        <w:rPr>
          <w:rFonts w:hint="eastAsia" w:ascii="宋体" w:hAnsi="宋体" w:eastAsia="宋体" w:cs="宋体"/>
          <w:bCs/>
          <w:color w:val="auto"/>
          <w:sz w:val="20"/>
          <w:szCs w:val="20"/>
          <w:highlight w:val="none"/>
        </w:rPr>
        <w:t>甲方应按照合同约定的时间和方式，及时、足额地向乙方支付服务费用，确保乙方能够顺利开展工作并持续提供服务</w:t>
      </w:r>
      <w:r>
        <w:rPr>
          <w:rFonts w:hint="eastAsia" w:ascii="宋体" w:hAnsi="宋体" w:eastAsia="宋体" w:cs="宋体"/>
          <w:bCs/>
          <w:color w:val="auto"/>
          <w:sz w:val="20"/>
          <w:szCs w:val="20"/>
          <w:highlight w:val="none"/>
          <w:lang w:eastAsia="zh-CN"/>
        </w:rPr>
        <w:t>；</w:t>
      </w:r>
    </w:p>
    <w:p w14:paraId="1F84E10F">
      <w:pPr>
        <w:spacing w:line="360" w:lineRule="auto"/>
        <w:ind w:firstLine="400" w:firstLineChars="200"/>
        <w:rPr>
          <w:rFonts w:hint="eastAsia" w:ascii="仿宋_GB2312" w:hAnsi="仿宋_GB2312" w:eastAsia="宋体" w:cs="仿宋_GB2312"/>
          <w:b w:val="0"/>
          <w:bCs/>
          <w:color w:val="auto"/>
          <w:sz w:val="28"/>
          <w:szCs w:val="28"/>
          <w:highlight w:val="none"/>
          <w:lang w:eastAsia="zh-CN"/>
        </w:rPr>
      </w:pPr>
      <w:r>
        <w:rPr>
          <w:rFonts w:hint="eastAsia" w:ascii="宋体" w:hAnsi="宋体" w:eastAsia="宋体" w:cs="宋体"/>
          <w:bCs/>
          <w:color w:val="auto"/>
          <w:sz w:val="20"/>
          <w:szCs w:val="20"/>
          <w:highlight w:val="none"/>
          <w:lang w:val="en-US" w:eastAsia="zh-CN"/>
        </w:rPr>
        <w:t>5、</w:t>
      </w:r>
      <w:r>
        <w:rPr>
          <w:rFonts w:hint="eastAsia" w:ascii="宋体" w:hAnsi="宋体" w:eastAsia="宋体" w:cs="宋体"/>
          <w:bCs/>
          <w:color w:val="auto"/>
          <w:sz w:val="20"/>
          <w:szCs w:val="20"/>
          <w:highlight w:val="none"/>
        </w:rPr>
        <w:t>在服务过程中，甲方应积极配合乙方的工作，提供必要的协助和支持，以确保服务顺利进行</w:t>
      </w:r>
      <w:r>
        <w:rPr>
          <w:rFonts w:hint="eastAsia" w:ascii="宋体" w:hAnsi="宋体" w:eastAsia="宋体" w:cs="宋体"/>
          <w:bCs/>
          <w:color w:val="auto"/>
          <w:sz w:val="20"/>
          <w:szCs w:val="20"/>
          <w:highlight w:val="none"/>
          <w:lang w:eastAsia="zh-CN"/>
        </w:rPr>
        <w:t>；</w:t>
      </w:r>
    </w:p>
    <w:p w14:paraId="1B8162D6">
      <w:pPr>
        <w:spacing w:line="360" w:lineRule="auto"/>
        <w:ind w:firstLine="400" w:firstLineChars="200"/>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val="en-US" w:eastAsia="zh-CN"/>
        </w:rPr>
        <w:t>6</w:t>
      </w:r>
      <w:r>
        <w:rPr>
          <w:rFonts w:hint="eastAsia" w:ascii="宋体" w:hAnsi="宋体" w:eastAsia="宋体" w:cs="宋体"/>
          <w:bCs/>
          <w:color w:val="auto"/>
          <w:sz w:val="20"/>
          <w:szCs w:val="20"/>
          <w:highlight w:val="none"/>
          <w:lang w:eastAsia="zh-CN"/>
        </w:rPr>
        <w:t>、</w:t>
      </w:r>
      <w:r>
        <w:rPr>
          <w:rFonts w:hint="eastAsia" w:ascii="宋体" w:hAnsi="宋体" w:eastAsia="宋体" w:cs="宋体"/>
          <w:bCs/>
          <w:color w:val="auto"/>
          <w:sz w:val="20"/>
          <w:szCs w:val="20"/>
          <w:highlight w:val="none"/>
        </w:rPr>
        <w:t>根据本合同规定，按时向乙方支付应付服务费用</w:t>
      </w:r>
      <w:r>
        <w:rPr>
          <w:rFonts w:hint="eastAsia" w:ascii="宋体" w:hAnsi="宋体" w:eastAsia="宋体" w:cs="宋体"/>
          <w:bCs/>
          <w:color w:val="auto"/>
          <w:sz w:val="20"/>
          <w:szCs w:val="20"/>
          <w:highlight w:val="none"/>
          <w:lang w:eastAsia="zh-CN"/>
        </w:rPr>
        <w:t>；</w:t>
      </w:r>
    </w:p>
    <w:p w14:paraId="347DC5ED">
      <w:pPr>
        <w:spacing w:line="360" w:lineRule="auto"/>
        <w:ind w:firstLine="400" w:firstLineChars="200"/>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val="en-US" w:eastAsia="zh-CN"/>
        </w:rPr>
        <w:t>7</w:t>
      </w:r>
      <w:r>
        <w:rPr>
          <w:rFonts w:hint="eastAsia" w:ascii="宋体" w:hAnsi="宋体" w:eastAsia="宋体" w:cs="宋体"/>
          <w:bCs/>
          <w:color w:val="auto"/>
          <w:sz w:val="20"/>
          <w:szCs w:val="20"/>
          <w:highlight w:val="none"/>
          <w:lang w:eastAsia="zh-CN"/>
        </w:rPr>
        <w:t>、</w:t>
      </w:r>
      <w:r>
        <w:rPr>
          <w:rFonts w:hint="eastAsia" w:ascii="宋体" w:hAnsi="宋体" w:eastAsia="宋体" w:cs="宋体"/>
          <w:bCs/>
          <w:color w:val="auto"/>
          <w:sz w:val="20"/>
          <w:szCs w:val="20"/>
          <w:highlight w:val="none"/>
        </w:rPr>
        <w:t>国家法律、法规所规定由甲方承担的其它责任</w:t>
      </w:r>
      <w:r>
        <w:rPr>
          <w:rFonts w:hint="eastAsia" w:ascii="宋体" w:hAnsi="宋体" w:eastAsia="宋体" w:cs="宋体"/>
          <w:bCs/>
          <w:color w:val="auto"/>
          <w:sz w:val="20"/>
          <w:szCs w:val="20"/>
          <w:highlight w:val="none"/>
          <w:lang w:eastAsia="zh-CN"/>
        </w:rPr>
        <w:t>。</w:t>
      </w:r>
    </w:p>
    <w:p w14:paraId="695767BC">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第六条  乙方的权利和义务</w:t>
      </w:r>
    </w:p>
    <w:p w14:paraId="5CB5ECB7">
      <w:pPr>
        <w:spacing w:line="360" w:lineRule="auto"/>
        <w:ind w:firstLine="400" w:firstLineChars="200"/>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1、根据本合同约定,乙方应按甲方需求安排服务人员,并保持服务人员的相对稳定。本项目乙方拟派</w:t>
      </w:r>
      <w:r>
        <w:rPr>
          <w:rFonts w:hint="eastAsia" w:ascii="宋体" w:hAnsi="宋体" w:eastAsia="宋体" w:cs="宋体"/>
          <w:bCs/>
          <w:color w:val="auto"/>
          <w:sz w:val="20"/>
          <w:szCs w:val="20"/>
          <w:highlight w:val="none"/>
          <w:u w:val="single"/>
          <w:lang w:val="en-US" w:eastAsia="zh-CN"/>
        </w:rPr>
        <w:t xml:space="preserve">       </w:t>
      </w:r>
      <w:r>
        <w:rPr>
          <w:rFonts w:hint="eastAsia" w:ascii="宋体" w:hAnsi="宋体" w:eastAsia="宋体" w:cs="宋体"/>
          <w:bCs/>
          <w:color w:val="auto"/>
          <w:sz w:val="20"/>
          <w:szCs w:val="20"/>
          <w:highlight w:val="none"/>
          <w:lang w:val="en-US" w:eastAsia="zh-CN"/>
        </w:rPr>
        <w:t>为负责人，联系电话：</w:t>
      </w:r>
      <w:r>
        <w:rPr>
          <w:rFonts w:hint="eastAsia" w:ascii="宋体" w:hAnsi="宋体" w:eastAsia="宋体" w:cs="宋体"/>
          <w:bCs/>
          <w:color w:val="auto"/>
          <w:sz w:val="20"/>
          <w:szCs w:val="20"/>
          <w:highlight w:val="none"/>
          <w:u w:val="single"/>
          <w:lang w:val="en-US" w:eastAsia="zh-CN"/>
        </w:rPr>
        <w:t xml:space="preserve">       </w:t>
      </w:r>
      <w:r>
        <w:rPr>
          <w:rFonts w:hint="eastAsia" w:ascii="宋体" w:hAnsi="宋体" w:eastAsia="宋体" w:cs="宋体"/>
          <w:bCs/>
          <w:color w:val="auto"/>
          <w:sz w:val="20"/>
          <w:szCs w:val="20"/>
          <w:highlight w:val="none"/>
          <w:lang w:val="en-US" w:eastAsia="zh-CN"/>
        </w:rPr>
        <w:t>，身份证号：</w:t>
      </w:r>
      <w:r>
        <w:rPr>
          <w:rFonts w:hint="eastAsia" w:ascii="宋体" w:hAnsi="宋体" w:eastAsia="宋体" w:cs="宋体"/>
          <w:bCs/>
          <w:color w:val="auto"/>
          <w:sz w:val="20"/>
          <w:szCs w:val="20"/>
          <w:highlight w:val="none"/>
          <w:u w:val="single"/>
          <w:lang w:val="en-US" w:eastAsia="zh-CN"/>
        </w:rPr>
        <w:t xml:space="preserve">             </w:t>
      </w:r>
      <w:r>
        <w:rPr>
          <w:rFonts w:hint="eastAsia" w:ascii="宋体" w:hAnsi="宋体" w:eastAsia="宋体" w:cs="宋体"/>
          <w:bCs/>
          <w:color w:val="auto"/>
          <w:sz w:val="20"/>
          <w:szCs w:val="20"/>
          <w:highlight w:val="none"/>
          <w:lang w:val="en-US" w:eastAsia="zh-CN"/>
        </w:rPr>
        <w:t>；</w:t>
      </w:r>
    </w:p>
    <w:p w14:paraId="289BE47C">
      <w:pPr>
        <w:spacing w:line="360" w:lineRule="auto"/>
        <w:ind w:firstLine="400" w:firstLineChars="200"/>
        <w:rPr>
          <w:rFonts w:hint="eastAsia" w:ascii="宋体" w:hAnsi="宋体" w:eastAsia="宋体" w:cs="宋体"/>
          <w:bCs/>
          <w:strike w:val="0"/>
          <w:dstrike w:val="0"/>
          <w:color w:val="auto"/>
          <w:sz w:val="20"/>
          <w:szCs w:val="20"/>
          <w:highlight w:val="none"/>
          <w:lang w:val="en-US" w:eastAsia="zh-CN"/>
        </w:rPr>
      </w:pPr>
      <w:r>
        <w:rPr>
          <w:rFonts w:hint="eastAsia" w:ascii="宋体" w:hAnsi="宋体" w:eastAsia="宋体" w:cs="宋体"/>
          <w:bCs/>
          <w:strike w:val="0"/>
          <w:dstrike w:val="0"/>
          <w:color w:val="auto"/>
          <w:sz w:val="20"/>
          <w:szCs w:val="20"/>
          <w:highlight w:val="none"/>
          <w:lang w:val="en-US" w:eastAsia="zh-CN"/>
        </w:rPr>
        <w:t>2、乙方要严格按照本合同约定的时间和要求提交服务成果总结报告，确保报告内容真实、准确，符合甲方要求；</w:t>
      </w:r>
    </w:p>
    <w:p w14:paraId="0E5E29A4">
      <w:pPr>
        <w:spacing w:line="360" w:lineRule="auto"/>
        <w:ind w:firstLine="400" w:firstLineChars="200"/>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3、乙方应对在项目执行过程中获取的所有甲方信息、统计数据、企业信息及其他敏感信息承担保密责任，未经甲方书面同意，不得泄露给第三方或用于非本项目目的；</w:t>
      </w:r>
    </w:p>
    <w:p w14:paraId="5F66D8F8">
      <w:pPr>
        <w:spacing w:line="360" w:lineRule="auto"/>
        <w:ind w:firstLine="400" w:firstLineChars="200"/>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4、乙方应确保所有服务活动均符合国家法律法规、政策要求及行业规范，不得从事任何违法、违规或损害甲方利益的行为；</w:t>
      </w:r>
    </w:p>
    <w:p w14:paraId="040AA660">
      <w:pPr>
        <w:spacing w:line="360" w:lineRule="auto"/>
        <w:ind w:firstLine="400" w:firstLineChars="200"/>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5、乙方及时向甲方通告本项目服务范围内有关服务的重大事项，及时配合处理统计相关投诉及突发事件；</w:t>
      </w:r>
    </w:p>
    <w:p w14:paraId="7A476253">
      <w:pPr>
        <w:spacing w:line="360" w:lineRule="auto"/>
        <w:ind w:firstLine="400" w:firstLineChars="200"/>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6、乙方应根据项目执行情况和甲方反馈，不断优化服务流程、提升服务质量，确保服务效果达到或超过甲方预期；</w:t>
      </w:r>
    </w:p>
    <w:p w14:paraId="7638AF9A">
      <w:pPr>
        <w:spacing w:line="360" w:lineRule="auto"/>
        <w:ind w:firstLine="400" w:firstLineChars="200"/>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7、乙方应接受项目行业管理部门及政府有关部门的指导，接受甲方的监督、考核评估，及时整改工作中存在的问题；</w:t>
      </w:r>
    </w:p>
    <w:p w14:paraId="7BDA6119">
      <w:pPr>
        <w:spacing w:line="360" w:lineRule="auto"/>
        <w:ind w:firstLine="400" w:firstLineChars="200"/>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8、国家法律、法规所规定由乙方承担的其它责任；</w:t>
      </w:r>
    </w:p>
    <w:p w14:paraId="5BF9822A">
      <w:pPr>
        <w:spacing w:line="360" w:lineRule="auto"/>
        <w:ind w:firstLine="400" w:firstLineChars="200"/>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9、乙方的工作人员必须严格遵守甲方的规章制度，以良好的形象和积极的工作态度，按甲方要求开展工作；</w:t>
      </w:r>
    </w:p>
    <w:p w14:paraId="3887A28A">
      <w:pPr>
        <w:spacing w:line="360" w:lineRule="auto"/>
        <w:ind w:firstLine="400" w:firstLineChars="200"/>
        <w:rPr>
          <w:rFonts w:hint="eastAsia" w:ascii="宋体" w:hAnsi="宋体" w:eastAsia="宋体" w:cs="宋体"/>
          <w:bCs/>
          <w:color w:val="auto"/>
          <w:sz w:val="20"/>
          <w:szCs w:val="20"/>
          <w:highlight w:val="none"/>
          <w:lang w:val="en-US" w:eastAsia="en-US"/>
        </w:rPr>
      </w:pPr>
      <w:r>
        <w:rPr>
          <w:rFonts w:hint="eastAsia" w:ascii="宋体" w:hAnsi="宋体" w:eastAsia="宋体" w:cs="宋体"/>
          <w:bCs/>
          <w:color w:val="auto"/>
          <w:sz w:val="20"/>
          <w:szCs w:val="20"/>
          <w:highlight w:val="none"/>
          <w:lang w:val="en-US" w:eastAsia="zh-CN"/>
        </w:rPr>
        <w:t>10、乙方有权根据本合同约定的服务内容、标准及期限，向甲方收取相应的服务费用。甲方应按期足额支付服务费用，以确保乙方能够持续、稳定地提供高质量的服务。</w:t>
      </w:r>
    </w:p>
    <w:p w14:paraId="2B00C6A5">
      <w:pPr>
        <w:spacing w:line="360" w:lineRule="auto"/>
        <w:ind w:firstLine="402" w:firstLineChars="200"/>
        <w:rPr>
          <w:rFonts w:hint="eastAsia" w:asciiTheme="majorEastAsia" w:hAnsiTheme="majorEastAsia" w:eastAsiaTheme="majorEastAsia" w:cstheme="majorEastAsia"/>
          <w:b/>
          <w:bCs w:val="0"/>
          <w:sz w:val="20"/>
          <w:szCs w:val="20"/>
          <w:highlight w:val="none"/>
          <w:lang w:val="en-US" w:eastAsia="zh-CN"/>
        </w:rPr>
      </w:pPr>
      <w:r>
        <w:rPr>
          <w:rFonts w:hint="eastAsia" w:asciiTheme="majorEastAsia" w:hAnsiTheme="majorEastAsia" w:eastAsiaTheme="majorEastAsia" w:cstheme="majorEastAsia"/>
          <w:b/>
          <w:bCs w:val="0"/>
          <w:sz w:val="20"/>
          <w:szCs w:val="20"/>
          <w:highlight w:val="none"/>
        </w:rPr>
        <w:t xml:space="preserve">第七条  </w:t>
      </w:r>
      <w:r>
        <w:rPr>
          <w:rFonts w:hint="eastAsia" w:asciiTheme="majorEastAsia" w:hAnsiTheme="majorEastAsia" w:eastAsiaTheme="majorEastAsia" w:cstheme="majorEastAsia"/>
          <w:b/>
          <w:bCs w:val="0"/>
          <w:sz w:val="20"/>
          <w:szCs w:val="20"/>
          <w:highlight w:val="none"/>
          <w:lang w:val="en-US" w:eastAsia="zh-CN"/>
        </w:rPr>
        <w:t>保密条款</w:t>
      </w:r>
    </w:p>
    <w:p w14:paraId="7C4C4C20">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1、所有与本项目有关的甲方信息,包括甲方的专有财产和保密信息，未经甲方书面同意，乙方不得向任何第三方泄露该信息。乙方承诺仅在本项目而使用，仅限乙方及本单位相关人员使用并履行本合同规定的保密义务；本项目终止时，返还给甲方或在甲方的监督下销毁；</w:t>
      </w:r>
    </w:p>
    <w:p w14:paraId="5CFA2766">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2、乙方履行本项目过程中所有工作成果为保密信息，乙方只能将其用于本项目履行的目的，未经甲方许可，乙方不得将其向任何第三方透露；</w:t>
      </w:r>
    </w:p>
    <w:p w14:paraId="36330B44">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3、乙方应采取一切措施，确保乙方向第三方提供、泄露本项目规定的保密信息。若乙方泄露了本合同规定的保密信息，乙方应向甲方承担全部赔偿责任。前述赔偿责任将包括但不限于；</w:t>
      </w:r>
    </w:p>
    <w:p w14:paraId="0DC0CE17">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（1）泄露方所获得的全部收益；</w:t>
      </w:r>
    </w:p>
    <w:p w14:paraId="276F9621">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（2）甲方因此所致的利润损失或因此所减少的商业收益；</w:t>
      </w:r>
    </w:p>
    <w:p w14:paraId="062D61AB">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（3）甲方因追究乙方违约责任所发生的全部法律费用、律师费用等；</w:t>
      </w:r>
    </w:p>
    <w:p w14:paraId="54EF35C3">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（4）本项目不论因何原因终止之后，上述保密义务继续有效，直至本项目规定的全部保密信息已通过合法途径成为社会公众所知悉的信息后终止。</w:t>
      </w:r>
    </w:p>
    <w:p w14:paraId="5E3ABAEE">
      <w:pPr>
        <w:spacing w:line="360" w:lineRule="auto"/>
        <w:ind w:firstLine="402" w:firstLineChars="200"/>
        <w:rPr>
          <w:rFonts w:hint="eastAsia" w:ascii="宋体" w:hAnsi="宋体" w:eastAsia="宋体" w:cs="宋体"/>
          <w:b/>
          <w:bCs w:val="0"/>
          <w:color w:val="auto"/>
          <w:sz w:val="20"/>
          <w:szCs w:val="20"/>
          <w:highlight w:val="none"/>
        </w:rPr>
      </w:pPr>
      <w:r>
        <w:rPr>
          <w:rFonts w:hint="eastAsia" w:ascii="宋体" w:hAnsi="宋体" w:eastAsia="宋体" w:cs="宋体"/>
          <w:b/>
          <w:bCs w:val="0"/>
          <w:color w:val="auto"/>
          <w:sz w:val="20"/>
          <w:szCs w:val="20"/>
          <w:highlight w:val="none"/>
        </w:rPr>
        <w:t>第</w:t>
      </w:r>
      <w:r>
        <w:rPr>
          <w:rFonts w:hint="eastAsia" w:ascii="宋体" w:hAnsi="宋体" w:eastAsia="宋体" w:cs="宋体"/>
          <w:b/>
          <w:bCs w:val="0"/>
          <w:color w:val="auto"/>
          <w:sz w:val="20"/>
          <w:szCs w:val="20"/>
          <w:highlight w:val="none"/>
          <w:lang w:val="en-US" w:eastAsia="zh-CN"/>
        </w:rPr>
        <w:t>八</w:t>
      </w:r>
      <w:r>
        <w:rPr>
          <w:rFonts w:hint="eastAsia" w:ascii="宋体" w:hAnsi="宋体" w:eastAsia="宋体" w:cs="宋体"/>
          <w:b/>
          <w:bCs w:val="0"/>
          <w:color w:val="auto"/>
          <w:sz w:val="20"/>
          <w:szCs w:val="20"/>
          <w:highlight w:val="none"/>
        </w:rPr>
        <w:t>条  违约责任</w:t>
      </w:r>
    </w:p>
    <w:p w14:paraId="4AC3B9DB">
      <w:pPr>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1、甲乙双方必须遵守本合同并执行合同中的各项规定，保证本合同的正常履行；</w:t>
      </w:r>
    </w:p>
    <w:p w14:paraId="1FB00E27">
      <w:pPr>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2、如因乙方工作人员在履行职务过程中的疏忽、失职、过错等故意或者过失原因给甲方造成损失或侵害，包括但不限于甲方本身的财产损失、统计数据错误、由此而导致的甲方对任何第三方的法律责任等，乙方对此均应承担全部的赔偿责任；</w:t>
      </w:r>
    </w:p>
    <w:p w14:paraId="448969EB">
      <w:pPr>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3、如乙方事先未征得甲方同意单方面延迟交付工作成果（含各类报表、台账、报告等）或延迟提供服务，每延误一天的赔偿费按迟延交付成果或未提供服务的服务费用的百分之零点五(0.5％)计收，直至交付成果或提供服务为止。甲方有权在支付合同款项时扣除迟延交付违约金。迟延交付超过30日的，甲方有权单方解除合同且有权要求乙方根据前述承担违约责任；</w:t>
      </w:r>
    </w:p>
    <w:p w14:paraId="02A8A0A4">
      <w:pPr>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4、乙方未按合同要求提供工作成果或其质量不能满足甲方相关要求、未达到约定考核指标的，甲方有权要求乙方限期整改，整改不合格的，甲方有权单方解除合同且有权要求乙方按照合同总额的10％向甲方承担违约责任；若因服务质量问题造成甲方损失的，乙方需另行全额赔偿；</w:t>
      </w:r>
    </w:p>
    <w:p w14:paraId="1E863CF2">
      <w:pPr>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5、乙方违反保密约定，泄露甲方敏感信息、工作秘密、企业信息或统计数据的，甲方有权终止合同，乙方需向甲方支付合同总额20%的违约金，造成甲方损失的，乙方需另行全额赔偿；</w:t>
      </w:r>
    </w:p>
    <w:p w14:paraId="666E25A6">
      <w:pPr>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6、乙方未按约定配备服务人员，或擅自更换服务人员且未征得甲方同意，甲方有权要求乙方限期整改，整改不合格的，扣除合同总额5%的违约金，造成服务延误、质量下降的，乙方需承担由此产生的全部损失；</w:t>
      </w:r>
    </w:p>
    <w:p w14:paraId="11D033A1">
      <w:pPr>
        <w:spacing w:line="360" w:lineRule="auto"/>
        <w:ind w:firstLine="402" w:firstLineChars="200"/>
        <w:rPr>
          <w:rFonts w:hint="eastAsia" w:ascii="宋体" w:hAnsi="宋体" w:eastAsia="宋体" w:cs="宋体"/>
          <w:b/>
          <w:bCs w:val="0"/>
          <w:color w:val="auto"/>
          <w:sz w:val="20"/>
          <w:szCs w:val="20"/>
          <w:highlight w:val="none"/>
        </w:rPr>
      </w:pPr>
      <w:r>
        <w:rPr>
          <w:rFonts w:hint="eastAsia" w:ascii="宋体" w:hAnsi="宋体" w:eastAsia="宋体" w:cs="宋体"/>
          <w:b/>
          <w:bCs w:val="0"/>
          <w:color w:val="auto"/>
          <w:sz w:val="20"/>
          <w:szCs w:val="20"/>
          <w:highlight w:val="none"/>
        </w:rPr>
        <w:t>第</w:t>
      </w:r>
      <w:r>
        <w:rPr>
          <w:rFonts w:hint="eastAsia" w:ascii="宋体" w:hAnsi="宋体" w:eastAsia="宋体" w:cs="宋体"/>
          <w:b/>
          <w:bCs w:val="0"/>
          <w:color w:val="auto"/>
          <w:sz w:val="20"/>
          <w:szCs w:val="20"/>
          <w:highlight w:val="none"/>
          <w:lang w:val="en-US" w:eastAsia="zh-CN"/>
        </w:rPr>
        <w:t>九</w:t>
      </w:r>
      <w:r>
        <w:rPr>
          <w:rFonts w:hint="eastAsia" w:ascii="宋体" w:hAnsi="宋体" w:eastAsia="宋体" w:cs="宋体"/>
          <w:b/>
          <w:bCs w:val="0"/>
          <w:color w:val="auto"/>
          <w:sz w:val="20"/>
          <w:szCs w:val="20"/>
          <w:highlight w:val="none"/>
        </w:rPr>
        <w:t>条</w:t>
      </w:r>
      <w:r>
        <w:rPr>
          <w:rFonts w:hint="eastAsia" w:ascii="宋体" w:hAnsi="宋体" w:eastAsia="宋体" w:cs="宋体"/>
          <w:b/>
          <w:bCs w:val="0"/>
          <w:color w:val="auto"/>
          <w:sz w:val="20"/>
          <w:szCs w:val="20"/>
          <w:highlight w:val="none"/>
          <w:lang w:val="en-US" w:eastAsia="zh-CN"/>
        </w:rPr>
        <w:t xml:space="preserve">  </w:t>
      </w:r>
      <w:r>
        <w:rPr>
          <w:rFonts w:hint="eastAsia" w:ascii="宋体" w:hAnsi="宋体" w:eastAsia="宋体" w:cs="宋体"/>
          <w:b/>
          <w:bCs w:val="0"/>
          <w:color w:val="auto"/>
          <w:sz w:val="20"/>
          <w:szCs w:val="20"/>
          <w:highlight w:val="none"/>
        </w:rPr>
        <w:t>考核及处罚措施</w:t>
      </w:r>
    </w:p>
    <w:p w14:paraId="7C5689FC">
      <w:pPr>
        <w:widowControl/>
        <w:kinsoku w:val="0"/>
        <w:autoSpaceDE w:val="0"/>
        <w:autoSpaceDN w:val="0"/>
        <w:adjustRightInd w:val="0"/>
        <w:snapToGrid w:val="0"/>
        <w:spacing w:line="360" w:lineRule="auto"/>
        <w:ind w:firstLine="402" w:firstLineChars="200"/>
        <w:jc w:val="left"/>
        <w:textAlignment w:val="baseline"/>
        <w:rPr>
          <w:rFonts w:hint="eastAsia" w:asciiTheme="majorEastAsia" w:hAnsiTheme="majorEastAsia" w:eastAsiaTheme="majorEastAsia" w:cstheme="majorEastAsia"/>
          <w:b/>
          <w:bCs w:val="0"/>
          <w:snapToGrid w:val="0"/>
          <w:color w:val="auto"/>
          <w:kern w:val="0"/>
          <w:sz w:val="20"/>
          <w:szCs w:val="20"/>
          <w:highlight w:val="none"/>
          <w:lang w:val="en-US" w:eastAsia="en-US"/>
        </w:rPr>
      </w:pPr>
      <w:r>
        <w:rPr>
          <w:rFonts w:hint="eastAsia" w:asciiTheme="majorEastAsia" w:hAnsiTheme="majorEastAsia" w:eastAsiaTheme="majorEastAsia" w:cstheme="majorEastAsia"/>
          <w:b/>
          <w:bCs w:val="0"/>
          <w:snapToGrid w:val="0"/>
          <w:color w:val="auto"/>
          <w:kern w:val="0"/>
          <w:sz w:val="20"/>
          <w:szCs w:val="20"/>
          <w:highlight w:val="none"/>
          <w:lang w:val="en-US" w:eastAsia="en-US"/>
        </w:rPr>
        <w:t>1、统计基础工作考核及处罚</w:t>
      </w:r>
    </w:p>
    <w:p w14:paraId="08461AC7">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en-US"/>
        </w:rPr>
      </w:pPr>
      <w:r>
        <w:rPr>
          <w:rFonts w:hint="eastAsia" w:asciiTheme="majorEastAsia" w:hAnsiTheme="majorEastAsia" w:eastAsiaTheme="majorEastAsia" w:cstheme="majorEastAsia"/>
          <w:bCs/>
          <w:snapToGrid w:val="0"/>
          <w:color w:val="auto"/>
          <w:kern w:val="0"/>
          <w:sz w:val="20"/>
          <w:szCs w:val="20"/>
          <w:highlight w:val="none"/>
          <w:lang w:val="en-US" w:eastAsia="en-US"/>
        </w:rPr>
        <w:t>1.1 企业报表催报及时率低于</w:t>
      </w:r>
      <w:r>
        <w:rPr>
          <w:rFonts w:hint="eastAsia" w:asciiTheme="majorEastAsia" w:hAnsiTheme="majorEastAsia" w:eastAsiaTheme="majorEastAsia" w:cstheme="majorEastAsia"/>
          <w:bCs/>
          <w:snapToGrid w:val="0"/>
          <w:color w:val="auto"/>
          <w:kern w:val="0"/>
          <w:sz w:val="20"/>
          <w:szCs w:val="20"/>
          <w:highlight w:val="none"/>
          <w:lang w:val="en-US" w:eastAsia="zh-CN"/>
        </w:rPr>
        <w:t>98</w:t>
      </w:r>
      <w:r>
        <w:rPr>
          <w:rFonts w:hint="eastAsia" w:asciiTheme="majorEastAsia" w:hAnsiTheme="majorEastAsia" w:eastAsiaTheme="majorEastAsia" w:cstheme="majorEastAsia"/>
          <w:bCs/>
          <w:snapToGrid w:val="0"/>
          <w:color w:val="auto"/>
          <w:kern w:val="0"/>
          <w:sz w:val="20"/>
          <w:szCs w:val="20"/>
          <w:highlight w:val="none"/>
          <w:lang w:val="en-US" w:eastAsia="en-US"/>
        </w:rPr>
        <w:t>%，</w:t>
      </w:r>
      <w:r>
        <w:rPr>
          <w:rFonts w:hint="eastAsia" w:asciiTheme="majorEastAsia" w:hAnsiTheme="majorEastAsia" w:eastAsiaTheme="majorEastAsia" w:cstheme="majorEastAsia"/>
          <w:bCs/>
          <w:snapToGrid w:val="0"/>
          <w:color w:val="auto"/>
          <w:kern w:val="0"/>
          <w:sz w:val="20"/>
          <w:szCs w:val="20"/>
          <w:highlight w:val="none"/>
          <w:lang w:val="en-US" w:eastAsia="zh-CN"/>
        </w:rPr>
        <w:t>每次</w:t>
      </w:r>
      <w:r>
        <w:rPr>
          <w:rFonts w:hint="eastAsia" w:asciiTheme="majorEastAsia" w:hAnsiTheme="majorEastAsia" w:eastAsiaTheme="majorEastAsia" w:cstheme="majorEastAsia"/>
          <w:bCs/>
          <w:snapToGrid w:val="0"/>
          <w:color w:val="auto"/>
          <w:kern w:val="0"/>
          <w:sz w:val="20"/>
          <w:szCs w:val="20"/>
          <w:highlight w:val="none"/>
          <w:lang w:val="en-US" w:eastAsia="en-US"/>
        </w:rPr>
        <w:t>扣款</w:t>
      </w:r>
      <w:r>
        <w:rPr>
          <w:rFonts w:hint="eastAsia" w:asciiTheme="majorEastAsia" w:hAnsiTheme="majorEastAsia" w:eastAsiaTheme="majorEastAsia" w:cstheme="majorEastAsia"/>
          <w:bCs/>
          <w:snapToGrid w:val="0"/>
          <w:color w:val="auto"/>
          <w:kern w:val="0"/>
          <w:sz w:val="20"/>
          <w:szCs w:val="20"/>
          <w:highlight w:val="none"/>
          <w:lang w:val="en-US" w:eastAsia="zh-CN"/>
        </w:rPr>
        <w:t>3</w:t>
      </w:r>
      <w:r>
        <w:rPr>
          <w:rFonts w:hint="eastAsia" w:asciiTheme="majorEastAsia" w:hAnsiTheme="majorEastAsia" w:eastAsiaTheme="majorEastAsia" w:cstheme="majorEastAsia"/>
          <w:bCs/>
          <w:snapToGrid w:val="0"/>
          <w:color w:val="auto"/>
          <w:kern w:val="0"/>
          <w:sz w:val="20"/>
          <w:szCs w:val="20"/>
          <w:highlight w:val="none"/>
          <w:lang w:val="en-US" w:eastAsia="en-US"/>
        </w:rPr>
        <w:t>00元；</w:t>
      </w:r>
    </w:p>
    <w:p w14:paraId="2862E9C4">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en-US"/>
        </w:rPr>
      </w:pPr>
      <w:r>
        <w:rPr>
          <w:rFonts w:hint="eastAsia" w:asciiTheme="majorEastAsia" w:hAnsiTheme="majorEastAsia" w:eastAsiaTheme="majorEastAsia" w:cstheme="majorEastAsia"/>
          <w:bCs/>
          <w:snapToGrid w:val="0"/>
          <w:color w:val="auto"/>
          <w:kern w:val="0"/>
          <w:sz w:val="20"/>
          <w:szCs w:val="20"/>
          <w:highlight w:val="none"/>
          <w:lang w:val="en-US" w:eastAsia="en-US"/>
        </w:rPr>
        <w:t>1.</w:t>
      </w:r>
      <w:r>
        <w:rPr>
          <w:rFonts w:hint="eastAsia" w:asciiTheme="majorEastAsia" w:hAnsiTheme="majorEastAsia" w:eastAsiaTheme="majorEastAsia" w:cstheme="majorEastAsia"/>
          <w:bCs/>
          <w:snapToGrid w:val="0"/>
          <w:color w:val="auto"/>
          <w:kern w:val="0"/>
          <w:sz w:val="20"/>
          <w:szCs w:val="20"/>
          <w:highlight w:val="none"/>
          <w:lang w:val="en-US" w:eastAsia="zh-CN"/>
        </w:rPr>
        <w:t>2</w:t>
      </w:r>
      <w:r>
        <w:rPr>
          <w:rFonts w:hint="eastAsia" w:asciiTheme="majorEastAsia" w:hAnsiTheme="majorEastAsia" w:eastAsiaTheme="majorEastAsia" w:cstheme="majorEastAsia"/>
          <w:bCs/>
          <w:snapToGrid w:val="0"/>
          <w:color w:val="auto"/>
          <w:kern w:val="0"/>
          <w:sz w:val="20"/>
          <w:szCs w:val="20"/>
          <w:highlight w:val="none"/>
          <w:lang w:val="en-US" w:eastAsia="en-US"/>
        </w:rPr>
        <w:t xml:space="preserve"> 专业统计工作指标填报不规范、数据错误，</w:t>
      </w:r>
      <w:r>
        <w:rPr>
          <w:rFonts w:hint="eastAsia" w:asciiTheme="majorEastAsia" w:hAnsiTheme="majorEastAsia" w:eastAsiaTheme="majorEastAsia" w:cstheme="majorEastAsia"/>
          <w:bCs/>
          <w:snapToGrid w:val="0"/>
          <w:color w:val="auto"/>
          <w:kern w:val="0"/>
          <w:sz w:val="20"/>
          <w:szCs w:val="20"/>
          <w:highlight w:val="none"/>
          <w:lang w:val="en-US" w:eastAsia="zh-CN"/>
        </w:rPr>
        <w:t>且</w:t>
      </w:r>
      <w:r>
        <w:rPr>
          <w:rFonts w:hint="eastAsia" w:asciiTheme="majorEastAsia" w:hAnsiTheme="majorEastAsia" w:eastAsiaTheme="majorEastAsia" w:cstheme="majorEastAsia"/>
          <w:bCs/>
          <w:snapToGrid w:val="0"/>
          <w:color w:val="auto"/>
          <w:kern w:val="0"/>
          <w:sz w:val="20"/>
          <w:szCs w:val="20"/>
          <w:highlight w:val="none"/>
          <w:lang w:val="en-US" w:eastAsia="en-US"/>
        </w:rPr>
        <w:t>未按上级要求推进</w:t>
      </w:r>
      <w:r>
        <w:rPr>
          <w:rFonts w:hint="eastAsia" w:asciiTheme="majorEastAsia" w:hAnsiTheme="majorEastAsia" w:eastAsiaTheme="majorEastAsia" w:cstheme="majorEastAsia"/>
          <w:bCs/>
          <w:snapToGrid w:val="0"/>
          <w:color w:val="auto"/>
          <w:kern w:val="0"/>
          <w:sz w:val="20"/>
          <w:szCs w:val="20"/>
          <w:highlight w:val="none"/>
          <w:lang w:val="en-US" w:eastAsia="zh-CN"/>
        </w:rPr>
        <w:t>整改的</w:t>
      </w:r>
      <w:r>
        <w:rPr>
          <w:rFonts w:hint="eastAsia" w:asciiTheme="majorEastAsia" w:hAnsiTheme="majorEastAsia" w:eastAsiaTheme="majorEastAsia" w:cstheme="majorEastAsia"/>
          <w:bCs/>
          <w:snapToGrid w:val="0"/>
          <w:color w:val="auto"/>
          <w:kern w:val="0"/>
          <w:sz w:val="20"/>
          <w:szCs w:val="20"/>
          <w:highlight w:val="none"/>
          <w:lang w:val="en-US" w:eastAsia="en-US"/>
        </w:rPr>
        <w:t>，每次扣款</w:t>
      </w:r>
      <w:r>
        <w:rPr>
          <w:rFonts w:hint="eastAsia" w:asciiTheme="majorEastAsia" w:hAnsiTheme="majorEastAsia" w:eastAsiaTheme="majorEastAsia" w:cstheme="majorEastAsia"/>
          <w:bCs/>
          <w:snapToGrid w:val="0"/>
          <w:color w:val="auto"/>
          <w:kern w:val="0"/>
          <w:sz w:val="20"/>
          <w:szCs w:val="20"/>
          <w:highlight w:val="none"/>
          <w:lang w:val="en-US" w:eastAsia="zh-CN"/>
        </w:rPr>
        <w:t>5</w:t>
      </w:r>
      <w:r>
        <w:rPr>
          <w:rFonts w:hint="eastAsia" w:asciiTheme="majorEastAsia" w:hAnsiTheme="majorEastAsia" w:eastAsiaTheme="majorEastAsia" w:cstheme="majorEastAsia"/>
          <w:bCs/>
          <w:snapToGrid w:val="0"/>
          <w:color w:val="auto"/>
          <w:kern w:val="0"/>
          <w:sz w:val="20"/>
          <w:szCs w:val="20"/>
          <w:highlight w:val="none"/>
          <w:lang w:val="en-US" w:eastAsia="en-US"/>
        </w:rPr>
        <w:t>00元；</w:t>
      </w:r>
    </w:p>
    <w:p w14:paraId="2940F186">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en-US"/>
        </w:rPr>
      </w:pPr>
      <w:r>
        <w:rPr>
          <w:rFonts w:hint="eastAsia" w:asciiTheme="majorEastAsia" w:hAnsiTheme="majorEastAsia" w:eastAsiaTheme="majorEastAsia" w:cstheme="majorEastAsia"/>
          <w:bCs/>
          <w:snapToGrid w:val="0"/>
          <w:color w:val="auto"/>
          <w:kern w:val="0"/>
          <w:sz w:val="20"/>
          <w:szCs w:val="20"/>
          <w:highlight w:val="none"/>
          <w:lang w:val="en-US" w:eastAsia="en-US"/>
        </w:rPr>
        <w:t>1.</w:t>
      </w:r>
      <w:r>
        <w:rPr>
          <w:rFonts w:hint="eastAsia" w:asciiTheme="majorEastAsia" w:hAnsiTheme="majorEastAsia" w:eastAsiaTheme="majorEastAsia" w:cstheme="majorEastAsia"/>
          <w:bCs/>
          <w:snapToGrid w:val="0"/>
          <w:color w:val="auto"/>
          <w:kern w:val="0"/>
          <w:sz w:val="20"/>
          <w:szCs w:val="20"/>
          <w:highlight w:val="none"/>
          <w:lang w:val="en-US" w:eastAsia="zh-CN"/>
        </w:rPr>
        <w:t>3</w:t>
      </w:r>
      <w:r>
        <w:rPr>
          <w:rFonts w:hint="eastAsia" w:asciiTheme="majorEastAsia" w:hAnsiTheme="majorEastAsia" w:eastAsiaTheme="majorEastAsia" w:cstheme="majorEastAsia"/>
          <w:bCs/>
          <w:snapToGrid w:val="0"/>
          <w:color w:val="auto"/>
          <w:kern w:val="0"/>
          <w:sz w:val="20"/>
          <w:szCs w:val="20"/>
          <w:highlight w:val="none"/>
          <w:lang w:val="en-US" w:eastAsia="en-US"/>
        </w:rPr>
        <w:t xml:space="preserve"> 配合统计检查、督察工作不力，资料整理不及时、有遗漏、有差错，或整改事项未闭环落实的，每次扣款</w:t>
      </w:r>
      <w:r>
        <w:rPr>
          <w:rFonts w:hint="eastAsia" w:asciiTheme="majorEastAsia" w:hAnsiTheme="majorEastAsia" w:eastAsiaTheme="majorEastAsia" w:cstheme="majorEastAsia"/>
          <w:bCs/>
          <w:snapToGrid w:val="0"/>
          <w:color w:val="auto"/>
          <w:kern w:val="0"/>
          <w:sz w:val="20"/>
          <w:szCs w:val="20"/>
          <w:highlight w:val="none"/>
          <w:lang w:val="en-US" w:eastAsia="zh-CN"/>
        </w:rPr>
        <w:t>5</w:t>
      </w:r>
      <w:r>
        <w:rPr>
          <w:rFonts w:hint="eastAsia" w:asciiTheme="majorEastAsia" w:hAnsiTheme="majorEastAsia" w:eastAsiaTheme="majorEastAsia" w:cstheme="majorEastAsia"/>
          <w:bCs/>
          <w:snapToGrid w:val="0"/>
          <w:color w:val="auto"/>
          <w:kern w:val="0"/>
          <w:sz w:val="20"/>
          <w:szCs w:val="20"/>
          <w:highlight w:val="none"/>
          <w:lang w:val="en-US" w:eastAsia="en-US"/>
        </w:rPr>
        <w:t>00元；</w:t>
      </w:r>
    </w:p>
    <w:p w14:paraId="442CEC23">
      <w:pPr>
        <w:widowControl/>
        <w:kinsoku w:val="0"/>
        <w:autoSpaceDE w:val="0"/>
        <w:autoSpaceDN w:val="0"/>
        <w:adjustRightInd w:val="0"/>
        <w:snapToGrid w:val="0"/>
        <w:spacing w:line="360" w:lineRule="auto"/>
        <w:ind w:firstLine="400" w:firstLineChars="200"/>
        <w:jc w:val="left"/>
        <w:textAlignment w:val="baseline"/>
        <w:rPr>
          <w:rFonts w:hint="default" w:asciiTheme="majorEastAsia" w:hAnsiTheme="majorEastAsia" w:eastAsiaTheme="majorEastAsia" w:cstheme="majorEastAsia"/>
          <w:bCs/>
          <w:snapToGrid w:val="0"/>
          <w:color w:val="auto"/>
          <w:kern w:val="0"/>
          <w:sz w:val="20"/>
          <w:szCs w:val="20"/>
          <w:highlight w:val="none"/>
          <w:lang w:val="en-US" w:eastAsia="zh-CN"/>
        </w:rPr>
      </w:pPr>
      <w:r>
        <w:rPr>
          <w:rFonts w:hint="eastAsia" w:asciiTheme="majorEastAsia" w:hAnsiTheme="majorEastAsia" w:eastAsiaTheme="majorEastAsia" w:cstheme="majorEastAsia"/>
          <w:bCs/>
          <w:snapToGrid w:val="0"/>
          <w:color w:val="auto"/>
          <w:kern w:val="0"/>
          <w:sz w:val="20"/>
          <w:szCs w:val="20"/>
          <w:highlight w:val="none"/>
          <w:lang w:val="en-US" w:eastAsia="zh-CN"/>
        </w:rPr>
        <w:t xml:space="preserve">1.4 </w:t>
      </w:r>
      <w:r>
        <w:rPr>
          <w:rFonts w:hint="eastAsia" w:asciiTheme="majorEastAsia" w:hAnsiTheme="majorEastAsia" w:eastAsiaTheme="majorEastAsia" w:cstheme="majorEastAsia"/>
          <w:bCs/>
          <w:snapToGrid w:val="0"/>
          <w:color w:val="auto"/>
          <w:kern w:val="0"/>
          <w:sz w:val="20"/>
          <w:szCs w:val="20"/>
          <w:highlight w:val="none"/>
          <w:lang w:val="en-US" w:eastAsia="en-US"/>
        </w:rPr>
        <w:t>新增企业纳统资料收集、录入、审核</w:t>
      </w:r>
      <w:r>
        <w:rPr>
          <w:rFonts w:hint="eastAsia" w:asciiTheme="majorEastAsia" w:hAnsiTheme="majorEastAsia" w:eastAsiaTheme="majorEastAsia" w:cstheme="majorEastAsia"/>
          <w:bCs/>
          <w:snapToGrid w:val="0"/>
          <w:color w:val="auto"/>
          <w:kern w:val="0"/>
          <w:sz w:val="20"/>
          <w:szCs w:val="20"/>
          <w:highlight w:val="none"/>
          <w:lang w:val="en-US" w:eastAsia="zh-CN"/>
        </w:rPr>
        <w:t>及时</w:t>
      </w:r>
      <w:r>
        <w:rPr>
          <w:rFonts w:hint="eastAsia" w:asciiTheme="majorEastAsia" w:hAnsiTheme="majorEastAsia" w:eastAsiaTheme="majorEastAsia" w:cstheme="majorEastAsia"/>
          <w:bCs/>
          <w:snapToGrid w:val="0"/>
          <w:color w:val="auto"/>
          <w:kern w:val="0"/>
          <w:sz w:val="20"/>
          <w:szCs w:val="20"/>
          <w:highlight w:val="none"/>
          <w:lang w:val="en-US" w:eastAsia="en-US"/>
        </w:rPr>
        <w:t>率</w:t>
      </w:r>
      <w:r>
        <w:rPr>
          <w:rFonts w:hint="eastAsia" w:asciiTheme="majorEastAsia" w:hAnsiTheme="majorEastAsia" w:eastAsiaTheme="majorEastAsia" w:cstheme="majorEastAsia"/>
          <w:bCs/>
          <w:snapToGrid w:val="0"/>
          <w:color w:val="auto"/>
          <w:kern w:val="0"/>
          <w:sz w:val="20"/>
          <w:szCs w:val="20"/>
          <w:highlight w:val="none"/>
          <w:lang w:val="en-US" w:eastAsia="zh-CN"/>
        </w:rPr>
        <w:t>未达到</w:t>
      </w:r>
      <w:r>
        <w:rPr>
          <w:rFonts w:hint="eastAsia" w:asciiTheme="majorEastAsia" w:hAnsiTheme="majorEastAsia" w:eastAsiaTheme="majorEastAsia" w:cstheme="majorEastAsia"/>
          <w:bCs/>
          <w:snapToGrid w:val="0"/>
          <w:color w:val="auto"/>
          <w:kern w:val="0"/>
          <w:sz w:val="20"/>
          <w:szCs w:val="20"/>
          <w:highlight w:val="none"/>
          <w:lang w:val="en-US" w:eastAsia="en-US"/>
        </w:rPr>
        <w:t>100%</w:t>
      </w:r>
      <w:r>
        <w:rPr>
          <w:rFonts w:hint="eastAsia" w:asciiTheme="majorEastAsia" w:hAnsiTheme="majorEastAsia" w:eastAsiaTheme="majorEastAsia" w:cstheme="majorEastAsia"/>
          <w:bCs/>
          <w:snapToGrid w:val="0"/>
          <w:color w:val="auto"/>
          <w:kern w:val="0"/>
          <w:sz w:val="20"/>
          <w:szCs w:val="20"/>
          <w:highlight w:val="none"/>
          <w:lang w:val="en-US" w:eastAsia="zh-CN"/>
        </w:rPr>
        <w:t>，每次扣款300元</w:t>
      </w:r>
    </w:p>
    <w:p w14:paraId="3A85BBAB">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trike/>
          <w:dstrike w:val="0"/>
          <w:snapToGrid w:val="0"/>
          <w:color w:val="auto"/>
          <w:kern w:val="0"/>
          <w:sz w:val="20"/>
          <w:szCs w:val="20"/>
          <w:highlight w:val="none"/>
          <w:lang w:val="en-US" w:eastAsia="en-US"/>
        </w:rPr>
      </w:pPr>
      <w:r>
        <w:rPr>
          <w:rFonts w:hint="eastAsia" w:asciiTheme="majorEastAsia" w:hAnsiTheme="majorEastAsia" w:eastAsiaTheme="majorEastAsia" w:cstheme="majorEastAsia"/>
          <w:bCs/>
          <w:snapToGrid w:val="0"/>
          <w:color w:val="auto"/>
          <w:kern w:val="0"/>
          <w:sz w:val="20"/>
          <w:szCs w:val="20"/>
          <w:highlight w:val="none"/>
          <w:lang w:val="en-US" w:eastAsia="en-US"/>
        </w:rPr>
        <w:t>1.</w:t>
      </w:r>
      <w:r>
        <w:rPr>
          <w:rFonts w:hint="eastAsia" w:asciiTheme="majorEastAsia" w:hAnsiTheme="majorEastAsia" w:eastAsiaTheme="majorEastAsia" w:cstheme="majorEastAsia"/>
          <w:bCs/>
          <w:snapToGrid w:val="0"/>
          <w:color w:val="auto"/>
          <w:kern w:val="0"/>
          <w:sz w:val="20"/>
          <w:szCs w:val="20"/>
          <w:highlight w:val="none"/>
          <w:lang w:val="en-US" w:eastAsia="zh-CN"/>
        </w:rPr>
        <w:t>5</w:t>
      </w:r>
      <w:r>
        <w:rPr>
          <w:rFonts w:hint="eastAsia" w:asciiTheme="majorEastAsia" w:hAnsiTheme="majorEastAsia" w:eastAsiaTheme="majorEastAsia" w:cstheme="majorEastAsia"/>
          <w:bCs/>
          <w:snapToGrid w:val="0"/>
          <w:color w:val="auto"/>
          <w:kern w:val="0"/>
          <w:sz w:val="20"/>
          <w:szCs w:val="20"/>
          <w:highlight w:val="none"/>
          <w:lang w:val="en-US" w:eastAsia="en-US"/>
        </w:rPr>
        <w:t xml:space="preserve"> 新增企业统计指导、培训覆盖率未达到100%，每次扣款</w:t>
      </w:r>
      <w:r>
        <w:rPr>
          <w:rFonts w:hint="eastAsia" w:asciiTheme="majorEastAsia" w:hAnsiTheme="majorEastAsia" w:eastAsiaTheme="majorEastAsia" w:cstheme="majorEastAsia"/>
          <w:bCs/>
          <w:snapToGrid w:val="0"/>
          <w:color w:val="auto"/>
          <w:kern w:val="0"/>
          <w:sz w:val="20"/>
          <w:szCs w:val="20"/>
          <w:highlight w:val="none"/>
          <w:lang w:val="en-US" w:eastAsia="zh-CN"/>
        </w:rPr>
        <w:t>2</w:t>
      </w:r>
      <w:r>
        <w:rPr>
          <w:rFonts w:hint="eastAsia" w:asciiTheme="majorEastAsia" w:hAnsiTheme="majorEastAsia" w:eastAsiaTheme="majorEastAsia" w:cstheme="majorEastAsia"/>
          <w:bCs/>
          <w:snapToGrid w:val="0"/>
          <w:color w:val="auto"/>
          <w:kern w:val="0"/>
          <w:sz w:val="20"/>
          <w:szCs w:val="20"/>
          <w:highlight w:val="none"/>
          <w:lang w:val="en-US" w:eastAsia="en-US"/>
        </w:rPr>
        <w:t>00元；</w:t>
      </w:r>
    </w:p>
    <w:p w14:paraId="4E4902BC">
      <w:pPr>
        <w:widowControl/>
        <w:kinsoku w:val="0"/>
        <w:autoSpaceDE w:val="0"/>
        <w:autoSpaceDN w:val="0"/>
        <w:adjustRightInd w:val="0"/>
        <w:snapToGrid w:val="0"/>
        <w:spacing w:line="360" w:lineRule="auto"/>
        <w:ind w:firstLine="402" w:firstLineChars="200"/>
        <w:jc w:val="left"/>
        <w:textAlignment w:val="baseline"/>
        <w:rPr>
          <w:rFonts w:hint="eastAsia" w:asciiTheme="majorEastAsia" w:hAnsiTheme="majorEastAsia" w:eastAsiaTheme="majorEastAsia" w:cstheme="majorEastAsia"/>
          <w:b/>
          <w:bCs w:val="0"/>
          <w:snapToGrid w:val="0"/>
          <w:color w:val="auto"/>
          <w:kern w:val="0"/>
          <w:sz w:val="20"/>
          <w:szCs w:val="20"/>
          <w:highlight w:val="none"/>
          <w:lang w:val="en-US" w:eastAsia="en-US"/>
        </w:rPr>
      </w:pPr>
      <w:r>
        <w:rPr>
          <w:rFonts w:hint="eastAsia" w:asciiTheme="majorEastAsia" w:hAnsiTheme="majorEastAsia" w:eastAsiaTheme="majorEastAsia" w:cstheme="majorEastAsia"/>
          <w:b/>
          <w:bCs w:val="0"/>
          <w:snapToGrid w:val="0"/>
          <w:color w:val="auto"/>
          <w:kern w:val="0"/>
          <w:sz w:val="20"/>
          <w:szCs w:val="20"/>
          <w:highlight w:val="none"/>
          <w:lang w:val="en-US" w:eastAsia="en-US"/>
        </w:rPr>
        <w:t>2、数据管理与分析考核及处罚</w:t>
      </w:r>
    </w:p>
    <w:p w14:paraId="41618605">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en-US"/>
        </w:rPr>
      </w:pPr>
      <w:r>
        <w:rPr>
          <w:rFonts w:hint="eastAsia" w:asciiTheme="majorEastAsia" w:hAnsiTheme="majorEastAsia" w:eastAsiaTheme="majorEastAsia" w:cstheme="majorEastAsia"/>
          <w:bCs/>
          <w:snapToGrid w:val="0"/>
          <w:color w:val="auto"/>
          <w:kern w:val="0"/>
          <w:sz w:val="20"/>
          <w:szCs w:val="20"/>
          <w:highlight w:val="none"/>
          <w:lang w:val="en-US" w:eastAsia="en-US"/>
        </w:rPr>
        <w:t>2.</w:t>
      </w:r>
      <w:r>
        <w:rPr>
          <w:rFonts w:hint="eastAsia" w:asciiTheme="majorEastAsia" w:hAnsiTheme="majorEastAsia" w:eastAsiaTheme="majorEastAsia" w:cstheme="majorEastAsia"/>
          <w:bCs/>
          <w:snapToGrid w:val="0"/>
          <w:color w:val="auto"/>
          <w:kern w:val="0"/>
          <w:sz w:val="20"/>
          <w:szCs w:val="20"/>
          <w:highlight w:val="none"/>
          <w:lang w:val="en-US" w:eastAsia="zh-CN"/>
        </w:rPr>
        <w:t>1</w:t>
      </w:r>
      <w:r>
        <w:rPr>
          <w:rFonts w:hint="eastAsia" w:asciiTheme="majorEastAsia" w:hAnsiTheme="majorEastAsia" w:eastAsiaTheme="majorEastAsia" w:cstheme="majorEastAsia"/>
          <w:bCs/>
          <w:snapToGrid w:val="0"/>
          <w:color w:val="auto"/>
          <w:kern w:val="0"/>
          <w:sz w:val="20"/>
          <w:szCs w:val="20"/>
          <w:highlight w:val="none"/>
          <w:lang w:val="en-US" w:eastAsia="en-US"/>
        </w:rPr>
        <w:t xml:space="preserve"> 未按</w:t>
      </w:r>
      <w:r>
        <w:rPr>
          <w:rFonts w:hint="eastAsia" w:asciiTheme="majorEastAsia" w:hAnsiTheme="majorEastAsia" w:eastAsiaTheme="majorEastAsia" w:cstheme="majorEastAsia"/>
          <w:bCs/>
          <w:snapToGrid w:val="0"/>
          <w:color w:val="auto"/>
          <w:kern w:val="0"/>
          <w:sz w:val="20"/>
          <w:szCs w:val="20"/>
          <w:highlight w:val="none"/>
          <w:lang w:val="en-US" w:eastAsia="zh-CN"/>
        </w:rPr>
        <w:t>工作要求</w:t>
      </w:r>
      <w:r>
        <w:rPr>
          <w:rFonts w:hint="eastAsia" w:asciiTheme="majorEastAsia" w:hAnsiTheme="majorEastAsia" w:eastAsiaTheme="majorEastAsia" w:cstheme="majorEastAsia"/>
          <w:bCs/>
          <w:snapToGrid w:val="0"/>
          <w:color w:val="auto"/>
          <w:kern w:val="0"/>
          <w:sz w:val="20"/>
          <w:szCs w:val="20"/>
          <w:highlight w:val="none"/>
          <w:lang w:val="en-US" w:eastAsia="en-US"/>
        </w:rPr>
        <w:t>开展统计数据汇总、分析工作，或未按时提交数据汇总报表及分析报告的，每次扣款300元；</w:t>
      </w:r>
    </w:p>
    <w:p w14:paraId="077FE768">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en-US"/>
        </w:rPr>
      </w:pPr>
      <w:r>
        <w:rPr>
          <w:rFonts w:hint="eastAsia" w:asciiTheme="majorEastAsia" w:hAnsiTheme="majorEastAsia" w:eastAsiaTheme="majorEastAsia" w:cstheme="majorEastAsia"/>
          <w:bCs/>
          <w:snapToGrid w:val="0"/>
          <w:color w:val="auto"/>
          <w:kern w:val="0"/>
          <w:sz w:val="20"/>
          <w:szCs w:val="20"/>
          <w:highlight w:val="none"/>
          <w:lang w:val="en-US" w:eastAsia="en-US"/>
        </w:rPr>
        <w:t>2.</w:t>
      </w:r>
      <w:r>
        <w:rPr>
          <w:rFonts w:hint="eastAsia" w:asciiTheme="majorEastAsia" w:hAnsiTheme="majorEastAsia" w:eastAsiaTheme="majorEastAsia" w:cstheme="majorEastAsia"/>
          <w:bCs/>
          <w:snapToGrid w:val="0"/>
          <w:color w:val="auto"/>
          <w:kern w:val="0"/>
          <w:sz w:val="20"/>
          <w:szCs w:val="20"/>
          <w:highlight w:val="none"/>
          <w:lang w:val="en-US" w:eastAsia="zh-CN"/>
        </w:rPr>
        <w:t>2</w:t>
      </w:r>
      <w:r>
        <w:rPr>
          <w:rFonts w:hint="eastAsia" w:asciiTheme="majorEastAsia" w:hAnsiTheme="majorEastAsia" w:eastAsiaTheme="majorEastAsia" w:cstheme="majorEastAsia"/>
          <w:bCs/>
          <w:snapToGrid w:val="0"/>
          <w:color w:val="auto"/>
          <w:kern w:val="0"/>
          <w:sz w:val="20"/>
          <w:szCs w:val="20"/>
          <w:highlight w:val="none"/>
          <w:lang w:val="en-US" w:eastAsia="en-US"/>
        </w:rPr>
        <w:t xml:space="preserve"> 数据质量核查工作未定期开展，或未建立核查台账、未跟踪整改落实的，每次扣款500元；</w:t>
      </w:r>
    </w:p>
    <w:p w14:paraId="3BA0A911">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FF0000"/>
          <w:kern w:val="0"/>
          <w:sz w:val="20"/>
          <w:szCs w:val="20"/>
          <w:highlight w:val="none"/>
          <w:lang w:val="en-US" w:eastAsia="en-US"/>
        </w:rPr>
      </w:pPr>
      <w:r>
        <w:rPr>
          <w:rFonts w:hint="eastAsia" w:asciiTheme="majorEastAsia" w:hAnsiTheme="majorEastAsia" w:eastAsiaTheme="majorEastAsia" w:cstheme="majorEastAsia"/>
          <w:bCs/>
          <w:snapToGrid w:val="0"/>
          <w:color w:val="auto"/>
          <w:kern w:val="0"/>
          <w:sz w:val="20"/>
          <w:szCs w:val="20"/>
          <w:highlight w:val="none"/>
          <w:lang w:val="en-US" w:eastAsia="zh-CN"/>
        </w:rPr>
        <w:t xml:space="preserve">2.3 </w:t>
      </w:r>
      <w:r>
        <w:rPr>
          <w:rFonts w:hint="eastAsia" w:asciiTheme="majorEastAsia" w:hAnsiTheme="majorEastAsia" w:eastAsiaTheme="majorEastAsia" w:cstheme="majorEastAsia"/>
          <w:bCs/>
          <w:snapToGrid w:val="0"/>
          <w:color w:val="auto"/>
          <w:kern w:val="0"/>
          <w:sz w:val="20"/>
          <w:szCs w:val="20"/>
          <w:highlight w:val="none"/>
          <w:lang w:val="en-US" w:eastAsia="en-US"/>
        </w:rPr>
        <w:t>数据质量核查问题整改闭环率未达到100%，每次扣款300元。</w:t>
      </w:r>
    </w:p>
    <w:p w14:paraId="39253D0F">
      <w:pPr>
        <w:widowControl/>
        <w:kinsoku w:val="0"/>
        <w:autoSpaceDE w:val="0"/>
        <w:autoSpaceDN w:val="0"/>
        <w:adjustRightInd w:val="0"/>
        <w:snapToGrid w:val="0"/>
        <w:spacing w:line="360" w:lineRule="auto"/>
        <w:ind w:firstLine="402" w:firstLineChars="200"/>
        <w:jc w:val="left"/>
        <w:textAlignment w:val="baseline"/>
        <w:rPr>
          <w:rFonts w:hint="eastAsia" w:asciiTheme="majorEastAsia" w:hAnsiTheme="majorEastAsia" w:eastAsiaTheme="majorEastAsia" w:cstheme="majorEastAsia"/>
          <w:b/>
          <w:bCs w:val="0"/>
          <w:snapToGrid w:val="0"/>
          <w:color w:val="auto"/>
          <w:kern w:val="0"/>
          <w:sz w:val="20"/>
          <w:szCs w:val="20"/>
          <w:highlight w:val="none"/>
          <w:lang w:val="en-US" w:eastAsia="en-US"/>
        </w:rPr>
      </w:pPr>
      <w:r>
        <w:rPr>
          <w:rFonts w:hint="eastAsia" w:asciiTheme="majorEastAsia" w:hAnsiTheme="majorEastAsia" w:eastAsiaTheme="majorEastAsia" w:cstheme="majorEastAsia"/>
          <w:b/>
          <w:bCs w:val="0"/>
          <w:snapToGrid w:val="0"/>
          <w:color w:val="auto"/>
          <w:kern w:val="0"/>
          <w:sz w:val="20"/>
          <w:szCs w:val="20"/>
          <w:highlight w:val="none"/>
          <w:lang w:val="en-US" w:eastAsia="en-US"/>
        </w:rPr>
        <w:t>3、基础管理及服务成果考核及处罚</w:t>
      </w:r>
    </w:p>
    <w:p w14:paraId="3786DCBF">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en-US"/>
        </w:rPr>
      </w:pPr>
      <w:r>
        <w:rPr>
          <w:rFonts w:hint="eastAsia" w:asciiTheme="majorEastAsia" w:hAnsiTheme="majorEastAsia" w:eastAsiaTheme="majorEastAsia" w:cstheme="majorEastAsia"/>
          <w:bCs/>
          <w:snapToGrid w:val="0"/>
          <w:color w:val="auto"/>
          <w:kern w:val="0"/>
          <w:sz w:val="20"/>
          <w:szCs w:val="20"/>
          <w:highlight w:val="none"/>
          <w:lang w:val="en-US" w:eastAsia="en-US"/>
        </w:rPr>
        <w:t>3.1 未建立健全各类统计工作台账，或台账不规范、不完整、不可追溯的，每次扣款300元；</w:t>
      </w:r>
    </w:p>
    <w:p w14:paraId="601459EE">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en-US"/>
        </w:rPr>
      </w:pPr>
      <w:r>
        <w:rPr>
          <w:rFonts w:hint="eastAsia" w:asciiTheme="majorEastAsia" w:hAnsiTheme="majorEastAsia" w:eastAsiaTheme="majorEastAsia" w:cstheme="majorEastAsia"/>
          <w:bCs/>
          <w:snapToGrid w:val="0"/>
          <w:color w:val="auto"/>
          <w:kern w:val="0"/>
          <w:sz w:val="20"/>
          <w:szCs w:val="20"/>
          <w:highlight w:val="none"/>
          <w:lang w:val="en-US" w:eastAsia="en-US"/>
        </w:rPr>
        <w:t>3.2 工作计划、服务成果总结</w:t>
      </w:r>
      <w:r>
        <w:rPr>
          <w:rFonts w:hint="eastAsia" w:asciiTheme="majorEastAsia" w:hAnsiTheme="majorEastAsia" w:eastAsiaTheme="majorEastAsia" w:cstheme="majorEastAsia"/>
          <w:bCs/>
          <w:snapToGrid w:val="0"/>
          <w:color w:val="auto"/>
          <w:kern w:val="0"/>
          <w:sz w:val="20"/>
          <w:szCs w:val="20"/>
          <w:highlight w:val="none"/>
          <w:lang w:val="en-US" w:eastAsia="zh-CN"/>
        </w:rPr>
        <w:t>报告</w:t>
      </w:r>
      <w:r>
        <w:rPr>
          <w:rFonts w:hint="eastAsia" w:asciiTheme="majorEastAsia" w:hAnsiTheme="majorEastAsia" w:eastAsiaTheme="majorEastAsia" w:cstheme="majorEastAsia"/>
          <w:bCs/>
          <w:snapToGrid w:val="0"/>
          <w:color w:val="auto"/>
          <w:kern w:val="0"/>
          <w:sz w:val="20"/>
          <w:szCs w:val="20"/>
          <w:highlight w:val="none"/>
          <w:lang w:val="en-US" w:eastAsia="en-US"/>
        </w:rPr>
        <w:t>提交不及时，或内容不完整、</w:t>
      </w:r>
      <w:r>
        <w:rPr>
          <w:rFonts w:hint="eastAsia" w:asciiTheme="majorEastAsia" w:hAnsiTheme="majorEastAsia" w:eastAsiaTheme="majorEastAsia" w:cstheme="majorEastAsia"/>
          <w:bCs/>
          <w:strike w:val="0"/>
          <w:dstrike w:val="0"/>
          <w:snapToGrid w:val="0"/>
          <w:color w:val="auto"/>
          <w:kern w:val="0"/>
          <w:sz w:val="20"/>
          <w:szCs w:val="20"/>
          <w:highlight w:val="none"/>
          <w:lang w:val="en-US" w:eastAsia="en-US"/>
        </w:rPr>
        <w:t>存在严重错误、造假的</w:t>
      </w:r>
      <w:r>
        <w:rPr>
          <w:rFonts w:hint="eastAsia" w:asciiTheme="majorEastAsia" w:hAnsiTheme="majorEastAsia" w:eastAsiaTheme="majorEastAsia" w:cstheme="majorEastAsia"/>
          <w:bCs/>
          <w:strike w:val="0"/>
          <w:dstrike w:val="0"/>
          <w:snapToGrid w:val="0"/>
          <w:color w:val="auto"/>
          <w:kern w:val="0"/>
          <w:sz w:val="20"/>
          <w:szCs w:val="20"/>
          <w:highlight w:val="none"/>
          <w:lang w:val="en-US" w:eastAsia="zh-CN"/>
        </w:rPr>
        <w:t>、</w:t>
      </w:r>
      <w:r>
        <w:rPr>
          <w:rFonts w:hint="eastAsia" w:asciiTheme="majorEastAsia" w:hAnsiTheme="majorEastAsia" w:eastAsiaTheme="majorEastAsia" w:cstheme="majorEastAsia"/>
          <w:bCs/>
          <w:snapToGrid w:val="0"/>
          <w:color w:val="auto"/>
          <w:kern w:val="0"/>
          <w:sz w:val="20"/>
          <w:szCs w:val="20"/>
          <w:highlight w:val="none"/>
          <w:lang w:val="en-US" w:eastAsia="en-US"/>
        </w:rPr>
        <w:t>不符合甲方要求的，每次扣款</w:t>
      </w:r>
      <w:r>
        <w:rPr>
          <w:rFonts w:hint="eastAsia" w:asciiTheme="majorEastAsia" w:hAnsiTheme="majorEastAsia" w:eastAsiaTheme="majorEastAsia" w:cstheme="majorEastAsia"/>
          <w:bCs/>
          <w:snapToGrid w:val="0"/>
          <w:color w:val="auto"/>
          <w:kern w:val="0"/>
          <w:sz w:val="20"/>
          <w:szCs w:val="20"/>
          <w:highlight w:val="none"/>
          <w:lang w:val="en-US" w:eastAsia="zh-CN"/>
        </w:rPr>
        <w:t>3</w:t>
      </w:r>
      <w:r>
        <w:rPr>
          <w:rFonts w:hint="eastAsia" w:asciiTheme="majorEastAsia" w:hAnsiTheme="majorEastAsia" w:eastAsiaTheme="majorEastAsia" w:cstheme="majorEastAsia"/>
          <w:bCs/>
          <w:snapToGrid w:val="0"/>
          <w:color w:val="auto"/>
          <w:kern w:val="0"/>
          <w:sz w:val="20"/>
          <w:szCs w:val="20"/>
          <w:highlight w:val="none"/>
          <w:lang w:val="en-US" w:eastAsia="en-US"/>
        </w:rPr>
        <w:t>00元；</w:t>
      </w:r>
    </w:p>
    <w:p w14:paraId="7CA7B6A6">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en-US"/>
        </w:rPr>
      </w:pPr>
      <w:r>
        <w:rPr>
          <w:rFonts w:hint="eastAsia" w:asciiTheme="majorEastAsia" w:hAnsiTheme="majorEastAsia" w:eastAsiaTheme="majorEastAsia" w:cstheme="majorEastAsia"/>
          <w:bCs/>
          <w:snapToGrid w:val="0"/>
          <w:color w:val="auto"/>
          <w:kern w:val="0"/>
          <w:sz w:val="20"/>
          <w:szCs w:val="20"/>
          <w:highlight w:val="none"/>
          <w:lang w:val="en-US" w:eastAsia="en-US"/>
        </w:rPr>
        <w:t>3.</w:t>
      </w:r>
      <w:r>
        <w:rPr>
          <w:rFonts w:hint="eastAsia" w:asciiTheme="majorEastAsia" w:hAnsiTheme="majorEastAsia" w:eastAsiaTheme="majorEastAsia" w:cstheme="majorEastAsia"/>
          <w:bCs/>
          <w:snapToGrid w:val="0"/>
          <w:color w:val="auto"/>
          <w:kern w:val="0"/>
          <w:sz w:val="20"/>
          <w:szCs w:val="20"/>
          <w:highlight w:val="none"/>
          <w:lang w:val="en-US" w:eastAsia="zh-CN"/>
        </w:rPr>
        <w:t>3</w:t>
      </w:r>
      <w:r>
        <w:rPr>
          <w:rFonts w:hint="eastAsia" w:asciiTheme="majorEastAsia" w:hAnsiTheme="majorEastAsia" w:eastAsiaTheme="majorEastAsia" w:cstheme="majorEastAsia"/>
          <w:bCs/>
          <w:snapToGrid w:val="0"/>
          <w:color w:val="auto"/>
          <w:kern w:val="0"/>
          <w:sz w:val="20"/>
          <w:szCs w:val="20"/>
          <w:highlight w:val="none"/>
          <w:lang w:val="en-US" w:eastAsia="en-US"/>
        </w:rPr>
        <w:t xml:space="preserve"> 培训</w:t>
      </w:r>
      <w:r>
        <w:rPr>
          <w:rFonts w:hint="eastAsia" w:asciiTheme="majorEastAsia" w:hAnsiTheme="majorEastAsia" w:eastAsiaTheme="majorEastAsia" w:cstheme="majorEastAsia"/>
          <w:bCs/>
          <w:snapToGrid w:val="0"/>
          <w:color w:val="auto"/>
          <w:kern w:val="0"/>
          <w:sz w:val="20"/>
          <w:szCs w:val="20"/>
          <w:highlight w:val="none"/>
          <w:lang w:val="en-US" w:eastAsia="zh-CN"/>
        </w:rPr>
        <w:t>资料</w:t>
      </w:r>
      <w:r>
        <w:rPr>
          <w:rFonts w:hint="eastAsia" w:asciiTheme="majorEastAsia" w:hAnsiTheme="majorEastAsia" w:eastAsiaTheme="majorEastAsia" w:cstheme="majorEastAsia"/>
          <w:bCs/>
          <w:snapToGrid w:val="0"/>
          <w:color w:val="auto"/>
          <w:kern w:val="0"/>
          <w:sz w:val="20"/>
          <w:szCs w:val="20"/>
          <w:highlight w:val="none"/>
          <w:lang w:val="en-US" w:eastAsia="en-US"/>
        </w:rPr>
        <w:t>、签到表</w:t>
      </w:r>
      <w:r>
        <w:rPr>
          <w:rFonts w:hint="eastAsia" w:asciiTheme="majorEastAsia" w:hAnsiTheme="majorEastAsia" w:eastAsiaTheme="majorEastAsia" w:cstheme="majorEastAsia"/>
          <w:bCs/>
          <w:snapToGrid w:val="0"/>
          <w:color w:val="auto"/>
          <w:kern w:val="0"/>
          <w:sz w:val="20"/>
          <w:szCs w:val="20"/>
          <w:highlight w:val="none"/>
          <w:lang w:val="en-US" w:eastAsia="zh-CN"/>
        </w:rPr>
        <w:t>等</w:t>
      </w:r>
      <w:r>
        <w:rPr>
          <w:rFonts w:hint="eastAsia" w:asciiTheme="majorEastAsia" w:hAnsiTheme="majorEastAsia" w:eastAsiaTheme="majorEastAsia" w:cstheme="majorEastAsia"/>
          <w:bCs/>
          <w:snapToGrid w:val="0"/>
          <w:color w:val="auto"/>
          <w:kern w:val="0"/>
          <w:sz w:val="20"/>
          <w:szCs w:val="20"/>
          <w:highlight w:val="none"/>
          <w:lang w:val="en-US" w:eastAsia="en-US"/>
        </w:rPr>
        <w:t>未按要求提交的，每次扣款</w:t>
      </w:r>
      <w:r>
        <w:rPr>
          <w:rFonts w:hint="eastAsia" w:asciiTheme="majorEastAsia" w:hAnsiTheme="majorEastAsia" w:eastAsiaTheme="majorEastAsia" w:cstheme="majorEastAsia"/>
          <w:bCs/>
          <w:snapToGrid w:val="0"/>
          <w:color w:val="auto"/>
          <w:kern w:val="0"/>
          <w:sz w:val="20"/>
          <w:szCs w:val="20"/>
          <w:highlight w:val="none"/>
          <w:lang w:val="en-US" w:eastAsia="zh-CN"/>
        </w:rPr>
        <w:t>2</w:t>
      </w:r>
      <w:r>
        <w:rPr>
          <w:rFonts w:hint="eastAsia" w:asciiTheme="majorEastAsia" w:hAnsiTheme="majorEastAsia" w:eastAsiaTheme="majorEastAsia" w:cstheme="majorEastAsia"/>
          <w:bCs/>
          <w:snapToGrid w:val="0"/>
          <w:color w:val="auto"/>
          <w:kern w:val="0"/>
          <w:sz w:val="20"/>
          <w:szCs w:val="20"/>
          <w:highlight w:val="none"/>
          <w:lang w:val="en-US" w:eastAsia="en-US"/>
        </w:rPr>
        <w:t>00元。</w:t>
      </w:r>
    </w:p>
    <w:p w14:paraId="336312C8">
      <w:pPr>
        <w:widowControl/>
        <w:kinsoku w:val="0"/>
        <w:autoSpaceDE w:val="0"/>
        <w:autoSpaceDN w:val="0"/>
        <w:adjustRightInd w:val="0"/>
        <w:snapToGrid w:val="0"/>
        <w:spacing w:line="360" w:lineRule="auto"/>
        <w:ind w:firstLine="402" w:firstLineChars="200"/>
        <w:jc w:val="left"/>
        <w:textAlignment w:val="baseline"/>
        <w:rPr>
          <w:rFonts w:hint="eastAsia" w:asciiTheme="majorEastAsia" w:hAnsiTheme="majorEastAsia" w:eastAsiaTheme="majorEastAsia" w:cstheme="majorEastAsia"/>
          <w:b/>
          <w:bCs w:val="0"/>
          <w:snapToGrid w:val="0"/>
          <w:color w:val="auto"/>
          <w:kern w:val="0"/>
          <w:sz w:val="20"/>
          <w:szCs w:val="20"/>
          <w:highlight w:val="none"/>
          <w:lang w:val="en-US" w:eastAsia="en-US"/>
        </w:rPr>
      </w:pPr>
      <w:r>
        <w:rPr>
          <w:rFonts w:hint="eastAsia" w:asciiTheme="majorEastAsia" w:hAnsiTheme="majorEastAsia" w:eastAsiaTheme="majorEastAsia" w:cstheme="majorEastAsia"/>
          <w:b/>
          <w:bCs w:val="0"/>
          <w:snapToGrid w:val="0"/>
          <w:color w:val="auto"/>
          <w:kern w:val="0"/>
          <w:sz w:val="20"/>
          <w:szCs w:val="20"/>
          <w:highlight w:val="none"/>
          <w:lang w:val="en-US" w:eastAsia="en-US"/>
        </w:rPr>
        <w:t>4、人员配置考核及处罚</w:t>
      </w:r>
    </w:p>
    <w:p w14:paraId="495A126C">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en-US"/>
        </w:rPr>
      </w:pPr>
      <w:r>
        <w:rPr>
          <w:rFonts w:hint="eastAsia" w:asciiTheme="majorEastAsia" w:hAnsiTheme="majorEastAsia" w:eastAsiaTheme="majorEastAsia" w:cstheme="majorEastAsia"/>
          <w:bCs/>
          <w:snapToGrid w:val="0"/>
          <w:color w:val="auto"/>
          <w:kern w:val="0"/>
          <w:sz w:val="20"/>
          <w:szCs w:val="20"/>
          <w:highlight w:val="none"/>
          <w:lang w:val="en-US" w:eastAsia="en-US"/>
        </w:rPr>
        <w:t>4.1 服务人员数量未达到不少于14人的要求，每少1人扣款</w:t>
      </w:r>
      <w:r>
        <w:rPr>
          <w:rFonts w:hint="eastAsia" w:asciiTheme="majorEastAsia" w:hAnsiTheme="majorEastAsia" w:eastAsiaTheme="majorEastAsia" w:cstheme="majorEastAsia"/>
          <w:bCs/>
          <w:snapToGrid w:val="0"/>
          <w:color w:val="auto"/>
          <w:kern w:val="0"/>
          <w:sz w:val="20"/>
          <w:szCs w:val="20"/>
          <w:highlight w:val="none"/>
          <w:lang w:val="en-US" w:eastAsia="zh-CN"/>
        </w:rPr>
        <w:t>9</w:t>
      </w:r>
      <w:r>
        <w:rPr>
          <w:rFonts w:hint="eastAsia" w:asciiTheme="majorEastAsia" w:hAnsiTheme="majorEastAsia" w:eastAsiaTheme="majorEastAsia" w:cstheme="majorEastAsia"/>
          <w:bCs/>
          <w:snapToGrid w:val="0"/>
          <w:color w:val="auto"/>
          <w:kern w:val="0"/>
          <w:sz w:val="20"/>
          <w:szCs w:val="20"/>
          <w:highlight w:val="none"/>
          <w:lang w:val="en-US" w:eastAsia="en-US"/>
        </w:rPr>
        <w:t>000元；</w:t>
      </w:r>
    </w:p>
    <w:p w14:paraId="35998EE2">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en-US"/>
        </w:rPr>
      </w:pPr>
      <w:r>
        <w:rPr>
          <w:rFonts w:hint="eastAsia" w:asciiTheme="majorEastAsia" w:hAnsiTheme="majorEastAsia" w:eastAsiaTheme="majorEastAsia" w:cstheme="majorEastAsia"/>
          <w:bCs/>
          <w:snapToGrid w:val="0"/>
          <w:color w:val="auto"/>
          <w:kern w:val="0"/>
          <w:sz w:val="20"/>
          <w:szCs w:val="20"/>
          <w:highlight w:val="none"/>
          <w:lang w:val="en-US" w:eastAsia="en-US"/>
        </w:rPr>
        <w:t>4.2 擅自更换服务人员未征得甲方同意，每次扣款</w:t>
      </w:r>
      <w:r>
        <w:rPr>
          <w:rFonts w:hint="eastAsia" w:asciiTheme="majorEastAsia" w:hAnsiTheme="majorEastAsia" w:eastAsiaTheme="majorEastAsia" w:cstheme="majorEastAsia"/>
          <w:bCs/>
          <w:snapToGrid w:val="0"/>
          <w:color w:val="auto"/>
          <w:kern w:val="0"/>
          <w:sz w:val="20"/>
          <w:szCs w:val="20"/>
          <w:highlight w:val="none"/>
          <w:lang w:val="en-US" w:eastAsia="zh-CN"/>
        </w:rPr>
        <w:t>1</w:t>
      </w:r>
      <w:r>
        <w:rPr>
          <w:rFonts w:hint="eastAsia" w:asciiTheme="majorEastAsia" w:hAnsiTheme="majorEastAsia" w:eastAsiaTheme="majorEastAsia" w:cstheme="majorEastAsia"/>
          <w:bCs/>
          <w:snapToGrid w:val="0"/>
          <w:color w:val="auto"/>
          <w:kern w:val="0"/>
          <w:sz w:val="20"/>
          <w:szCs w:val="20"/>
          <w:highlight w:val="none"/>
          <w:lang w:val="en-US" w:eastAsia="en-US"/>
        </w:rPr>
        <w:t>000元；</w:t>
      </w:r>
    </w:p>
    <w:p w14:paraId="5A49F40D">
      <w:pPr>
        <w:widowControl/>
        <w:kinsoku w:val="0"/>
        <w:autoSpaceDE w:val="0"/>
        <w:autoSpaceDN w:val="0"/>
        <w:adjustRightInd w:val="0"/>
        <w:snapToGrid w:val="0"/>
        <w:spacing w:line="360" w:lineRule="auto"/>
        <w:ind w:firstLine="400" w:firstLineChars="200"/>
        <w:jc w:val="left"/>
        <w:textAlignment w:val="baseline"/>
        <w:rPr>
          <w:rFonts w:hint="default" w:asciiTheme="majorEastAsia" w:hAnsiTheme="majorEastAsia" w:eastAsiaTheme="majorEastAsia" w:cstheme="majorEastAsia"/>
          <w:bCs/>
          <w:snapToGrid w:val="0"/>
          <w:color w:val="auto"/>
          <w:kern w:val="0"/>
          <w:sz w:val="20"/>
          <w:szCs w:val="20"/>
          <w:highlight w:val="none"/>
          <w:lang w:val="en-US" w:eastAsia="zh-CN"/>
        </w:rPr>
      </w:pPr>
      <w:r>
        <w:rPr>
          <w:rFonts w:hint="eastAsia" w:asciiTheme="majorEastAsia" w:hAnsiTheme="majorEastAsia" w:eastAsiaTheme="majorEastAsia" w:cstheme="majorEastAsia"/>
          <w:bCs/>
          <w:snapToGrid w:val="0"/>
          <w:color w:val="auto"/>
          <w:kern w:val="0"/>
          <w:sz w:val="20"/>
          <w:szCs w:val="20"/>
          <w:highlight w:val="none"/>
          <w:lang w:val="en-US" w:eastAsia="zh-CN"/>
        </w:rPr>
        <w:t>4.3 服务人员专业能力不足，或违反甲方工作纪律，造成不良影响的，每次扣款1000元，甲方有权要求乙方更换相关人员。</w:t>
      </w:r>
    </w:p>
    <w:p w14:paraId="4F7AF1E7">
      <w:pPr>
        <w:widowControl/>
        <w:kinsoku w:val="0"/>
        <w:autoSpaceDE w:val="0"/>
        <w:autoSpaceDN w:val="0"/>
        <w:adjustRightInd w:val="0"/>
        <w:snapToGrid w:val="0"/>
        <w:spacing w:line="360" w:lineRule="auto"/>
        <w:ind w:firstLine="402" w:firstLineChars="200"/>
        <w:jc w:val="left"/>
        <w:textAlignment w:val="baseline"/>
        <w:rPr>
          <w:rFonts w:hint="eastAsia" w:asciiTheme="majorEastAsia" w:hAnsiTheme="majorEastAsia" w:eastAsiaTheme="majorEastAsia" w:cstheme="majorEastAsia"/>
          <w:b/>
          <w:bCs w:val="0"/>
          <w:snapToGrid w:val="0"/>
          <w:color w:val="auto"/>
          <w:kern w:val="0"/>
          <w:sz w:val="20"/>
          <w:szCs w:val="20"/>
          <w:highlight w:val="none"/>
          <w:lang w:val="en-US" w:eastAsia="en-US"/>
        </w:rPr>
      </w:pPr>
      <w:r>
        <w:rPr>
          <w:rFonts w:hint="eastAsia" w:asciiTheme="majorEastAsia" w:hAnsiTheme="majorEastAsia" w:eastAsiaTheme="majorEastAsia" w:cstheme="majorEastAsia"/>
          <w:b/>
          <w:bCs w:val="0"/>
          <w:snapToGrid w:val="0"/>
          <w:color w:val="auto"/>
          <w:kern w:val="0"/>
          <w:sz w:val="20"/>
          <w:szCs w:val="20"/>
          <w:highlight w:val="none"/>
          <w:lang w:val="en-US" w:eastAsia="en-US"/>
        </w:rPr>
        <w:t>5、其他考核及处罚</w:t>
      </w:r>
    </w:p>
    <w:p w14:paraId="5CB476FC">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zh-CN"/>
        </w:rPr>
      </w:pPr>
      <w:r>
        <w:rPr>
          <w:rFonts w:hint="eastAsia" w:asciiTheme="majorEastAsia" w:hAnsiTheme="majorEastAsia" w:eastAsiaTheme="majorEastAsia" w:cstheme="majorEastAsia"/>
          <w:bCs/>
          <w:snapToGrid w:val="0"/>
          <w:color w:val="auto"/>
          <w:kern w:val="0"/>
          <w:sz w:val="20"/>
          <w:szCs w:val="20"/>
          <w:highlight w:val="none"/>
          <w:lang w:val="en-US" w:eastAsia="en-US"/>
        </w:rPr>
        <w:t>未按甲方要求开展服务，不配合甲方监督、考核，或整改工作不到位的，每次扣款</w:t>
      </w:r>
      <w:r>
        <w:rPr>
          <w:rFonts w:hint="eastAsia" w:asciiTheme="majorEastAsia" w:hAnsiTheme="majorEastAsia" w:eastAsiaTheme="majorEastAsia" w:cstheme="majorEastAsia"/>
          <w:bCs/>
          <w:snapToGrid w:val="0"/>
          <w:color w:val="auto"/>
          <w:kern w:val="0"/>
          <w:sz w:val="20"/>
          <w:szCs w:val="20"/>
          <w:highlight w:val="none"/>
          <w:lang w:val="en-US" w:eastAsia="zh-CN"/>
        </w:rPr>
        <w:t>1</w:t>
      </w:r>
      <w:r>
        <w:rPr>
          <w:rFonts w:hint="eastAsia" w:asciiTheme="majorEastAsia" w:hAnsiTheme="majorEastAsia" w:eastAsiaTheme="majorEastAsia" w:cstheme="majorEastAsia"/>
          <w:bCs/>
          <w:snapToGrid w:val="0"/>
          <w:color w:val="auto"/>
          <w:kern w:val="0"/>
          <w:sz w:val="20"/>
          <w:szCs w:val="20"/>
          <w:highlight w:val="none"/>
          <w:lang w:val="en-US" w:eastAsia="en-US"/>
        </w:rPr>
        <w:t>000元</w:t>
      </w:r>
      <w:r>
        <w:rPr>
          <w:rFonts w:hint="eastAsia" w:asciiTheme="majorEastAsia" w:hAnsiTheme="majorEastAsia" w:eastAsiaTheme="majorEastAsia" w:cstheme="majorEastAsia"/>
          <w:bCs/>
          <w:snapToGrid w:val="0"/>
          <w:color w:val="auto"/>
          <w:kern w:val="0"/>
          <w:sz w:val="20"/>
          <w:szCs w:val="20"/>
          <w:highlight w:val="none"/>
          <w:lang w:val="en-US" w:eastAsia="zh-CN"/>
        </w:rPr>
        <w:t>。</w:t>
      </w:r>
    </w:p>
    <w:p w14:paraId="476E6D0A">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w:t>
      </w:r>
      <w:r>
        <w:rPr>
          <w:rFonts w:hint="eastAsia" w:ascii="宋体" w:hAnsi="宋体" w:eastAsia="宋体" w:cs="宋体"/>
          <w:b/>
          <w:bCs w:val="0"/>
          <w:sz w:val="20"/>
          <w:szCs w:val="20"/>
          <w:highlight w:val="none"/>
          <w:lang w:val="en-US" w:eastAsia="zh-CN"/>
        </w:rPr>
        <w:t>十</w:t>
      </w:r>
      <w:r>
        <w:rPr>
          <w:rFonts w:hint="eastAsia" w:ascii="宋体" w:hAnsi="宋体" w:eastAsia="宋体" w:cs="宋体"/>
          <w:b/>
          <w:bCs w:val="0"/>
          <w:sz w:val="20"/>
          <w:szCs w:val="20"/>
          <w:highlight w:val="none"/>
        </w:rPr>
        <w:t>条  不可抗力事件处理</w:t>
      </w:r>
    </w:p>
    <w:p w14:paraId="38FC76EF">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zh-CN"/>
        </w:rPr>
        <w:t>1、</w:t>
      </w:r>
      <w:r>
        <w:rPr>
          <w:rFonts w:hint="eastAsia" w:asciiTheme="majorEastAsia" w:hAnsiTheme="majorEastAsia" w:eastAsiaTheme="majorEastAsia" w:cstheme="majorEastAsia"/>
          <w:bCs/>
          <w:snapToGrid w:val="0"/>
          <w:color w:val="000000"/>
          <w:kern w:val="0"/>
          <w:sz w:val="20"/>
          <w:szCs w:val="20"/>
          <w:highlight w:val="none"/>
          <w:lang w:val="en-US" w:eastAsia="en-US"/>
        </w:rPr>
        <w:t>不可抗力指下列事件:战争、骚乱、瘟疫、火灾、洪水、地震、风暴、潮水或其他自然灾害，以及本合同双方不可预见、不可防止并不能避免或克服的一切其他因素和事件</w:t>
      </w:r>
      <w:r>
        <w:rPr>
          <w:rFonts w:hint="eastAsia" w:asciiTheme="majorEastAsia" w:hAnsiTheme="majorEastAsia" w:eastAsiaTheme="majorEastAsia" w:cstheme="majorEastAsia"/>
          <w:bCs/>
          <w:snapToGrid w:val="0"/>
          <w:color w:val="000000"/>
          <w:kern w:val="0"/>
          <w:sz w:val="20"/>
          <w:szCs w:val="20"/>
          <w:highlight w:val="none"/>
          <w:lang w:eastAsia="zh-CN"/>
        </w:rPr>
        <w:t>；</w:t>
      </w:r>
    </w:p>
    <w:p w14:paraId="4F46BA00">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zh-CN"/>
        </w:rPr>
        <w:t>2、</w:t>
      </w:r>
      <w:r>
        <w:rPr>
          <w:rFonts w:hint="eastAsia" w:asciiTheme="majorEastAsia" w:hAnsiTheme="majorEastAsia" w:eastAsiaTheme="majorEastAsia" w:cstheme="majorEastAsia"/>
          <w:bCs/>
          <w:snapToGrid w:val="0"/>
          <w:color w:val="000000"/>
          <w:kern w:val="0"/>
          <w:sz w:val="20"/>
          <w:szCs w:val="20"/>
          <w:highlight w:val="none"/>
          <w:lang w:val="en-US" w:eastAsia="en-US"/>
        </w:rPr>
        <w:t>本合同任何一方因不可抗力不能履行本合同规定的全部或部分义务，应及时通知合同相对方</w:t>
      </w:r>
      <w:r>
        <w:rPr>
          <w:rFonts w:hint="eastAsia" w:asciiTheme="majorEastAsia" w:hAnsiTheme="majorEastAsia" w:eastAsiaTheme="majorEastAsia" w:cstheme="majorEastAsia"/>
          <w:bCs/>
          <w:snapToGrid w:val="0"/>
          <w:color w:val="000000"/>
          <w:kern w:val="0"/>
          <w:sz w:val="20"/>
          <w:szCs w:val="20"/>
          <w:highlight w:val="none"/>
          <w:lang w:eastAsia="zh-CN"/>
        </w:rPr>
        <w:t>；</w:t>
      </w:r>
    </w:p>
    <w:p w14:paraId="41CB4129">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3</w:t>
      </w:r>
      <w:r>
        <w:rPr>
          <w:rFonts w:hint="eastAsia" w:asciiTheme="majorEastAsia" w:hAnsiTheme="majorEastAsia" w:eastAsiaTheme="majorEastAsia" w:cstheme="majorEastAsia"/>
          <w:bCs/>
          <w:snapToGrid w:val="0"/>
          <w:color w:val="000000"/>
          <w:kern w:val="0"/>
          <w:sz w:val="20"/>
          <w:szCs w:val="20"/>
          <w:highlight w:val="none"/>
          <w:lang w:val="en-US" w:eastAsia="zh-CN"/>
        </w:rPr>
        <w:t>、</w:t>
      </w:r>
      <w:r>
        <w:rPr>
          <w:rFonts w:hint="eastAsia" w:asciiTheme="majorEastAsia" w:hAnsiTheme="majorEastAsia" w:eastAsiaTheme="majorEastAsia" w:cstheme="majorEastAsia"/>
          <w:bCs/>
          <w:snapToGrid w:val="0"/>
          <w:color w:val="000000"/>
          <w:kern w:val="0"/>
          <w:sz w:val="20"/>
          <w:szCs w:val="20"/>
          <w:highlight w:val="none"/>
          <w:lang w:val="en-US" w:eastAsia="en-US"/>
        </w:rPr>
        <w:t>发生不可抗力事件，本合同任何一方均不对因不可抗力无法履行或迟延履行本合同义务而使对方蒙受的任何损失承担责任。但遭受不可抗力影响的一方有责任尽可能及时采取适当或必要措施减少或消除不可抗力的影响。遭受不可抗力影响的一方对因未尽本项责任而造成对方的相关损失承担责任</w:t>
      </w:r>
      <w:r>
        <w:rPr>
          <w:rFonts w:hint="eastAsia" w:asciiTheme="majorEastAsia" w:hAnsiTheme="majorEastAsia" w:eastAsiaTheme="majorEastAsia" w:cstheme="majorEastAsia"/>
          <w:bCs/>
          <w:snapToGrid w:val="0"/>
          <w:color w:val="000000"/>
          <w:kern w:val="0"/>
          <w:sz w:val="20"/>
          <w:szCs w:val="20"/>
          <w:highlight w:val="none"/>
          <w:lang w:eastAsia="zh-CN"/>
        </w:rPr>
        <w:t>；</w:t>
      </w:r>
    </w:p>
    <w:p w14:paraId="61FC1087">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zh-CN"/>
        </w:rPr>
        <w:t>4、</w:t>
      </w:r>
      <w:r>
        <w:rPr>
          <w:rFonts w:hint="eastAsia" w:asciiTheme="majorEastAsia" w:hAnsiTheme="majorEastAsia" w:eastAsiaTheme="majorEastAsia" w:cstheme="majorEastAsia"/>
          <w:bCs/>
          <w:snapToGrid w:val="0"/>
          <w:color w:val="000000"/>
          <w:kern w:val="0"/>
          <w:sz w:val="20"/>
          <w:szCs w:val="20"/>
          <w:highlight w:val="none"/>
          <w:lang w:val="en-US" w:eastAsia="en-US"/>
        </w:rPr>
        <w:t>在合同有效期内，任何一方因不可抗力事件导致不能履行合同，则合同履行期可延长，其延长期与不可抗力影响期相同</w:t>
      </w:r>
      <w:r>
        <w:rPr>
          <w:rFonts w:hint="eastAsia" w:asciiTheme="majorEastAsia" w:hAnsiTheme="majorEastAsia" w:eastAsiaTheme="majorEastAsia" w:cstheme="majorEastAsia"/>
          <w:bCs/>
          <w:snapToGrid w:val="0"/>
          <w:color w:val="000000"/>
          <w:kern w:val="0"/>
          <w:sz w:val="20"/>
          <w:szCs w:val="20"/>
          <w:highlight w:val="none"/>
          <w:lang w:eastAsia="zh-CN"/>
        </w:rPr>
        <w:t>；</w:t>
      </w:r>
    </w:p>
    <w:p w14:paraId="56BEE911">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zh-CN"/>
        </w:rPr>
        <w:t>5、</w:t>
      </w:r>
      <w:r>
        <w:rPr>
          <w:rFonts w:hint="eastAsia" w:asciiTheme="majorEastAsia" w:hAnsiTheme="majorEastAsia" w:eastAsiaTheme="majorEastAsia" w:cstheme="majorEastAsia"/>
          <w:bCs/>
          <w:snapToGrid w:val="0"/>
          <w:color w:val="000000"/>
          <w:kern w:val="0"/>
          <w:sz w:val="20"/>
          <w:szCs w:val="20"/>
          <w:highlight w:val="none"/>
          <w:lang w:val="en-US" w:eastAsia="en-US"/>
        </w:rPr>
        <w:t>不可抗力事件发生后，应立即通知对方，并寄送有关权威机构出具的证明</w:t>
      </w:r>
      <w:r>
        <w:rPr>
          <w:rFonts w:hint="eastAsia" w:asciiTheme="majorEastAsia" w:hAnsiTheme="majorEastAsia" w:eastAsiaTheme="majorEastAsia" w:cstheme="majorEastAsia"/>
          <w:bCs/>
          <w:snapToGrid w:val="0"/>
          <w:color w:val="000000"/>
          <w:kern w:val="0"/>
          <w:sz w:val="20"/>
          <w:szCs w:val="20"/>
          <w:highlight w:val="none"/>
          <w:lang w:eastAsia="zh-CN"/>
        </w:rPr>
        <w:t>；</w:t>
      </w:r>
    </w:p>
    <w:p w14:paraId="4CFCE83A">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zh-CN"/>
        </w:rPr>
        <w:t>6、</w:t>
      </w:r>
      <w:r>
        <w:rPr>
          <w:rFonts w:hint="eastAsia" w:asciiTheme="majorEastAsia" w:hAnsiTheme="majorEastAsia" w:eastAsiaTheme="majorEastAsia" w:cstheme="majorEastAsia"/>
          <w:bCs/>
          <w:snapToGrid w:val="0"/>
          <w:color w:val="000000"/>
          <w:kern w:val="0"/>
          <w:sz w:val="20"/>
          <w:szCs w:val="20"/>
          <w:highlight w:val="none"/>
          <w:lang w:val="en-US" w:eastAsia="en-US"/>
        </w:rPr>
        <w:t>不可抗力事件延续</w:t>
      </w:r>
      <w:r>
        <w:rPr>
          <w:rFonts w:hint="eastAsia" w:asciiTheme="majorEastAsia" w:hAnsiTheme="majorEastAsia" w:eastAsiaTheme="majorEastAsia" w:cstheme="majorEastAsia"/>
          <w:bCs/>
          <w:snapToGrid w:val="0"/>
          <w:color w:val="000000"/>
          <w:kern w:val="0"/>
          <w:sz w:val="20"/>
          <w:szCs w:val="20"/>
          <w:highlight w:val="none"/>
          <w:u w:val="single"/>
          <w:lang w:val="en-US" w:eastAsia="en-US"/>
        </w:rPr>
        <w:t xml:space="preserve">     </w:t>
      </w:r>
      <w:r>
        <w:rPr>
          <w:rFonts w:hint="eastAsia" w:asciiTheme="majorEastAsia" w:hAnsiTheme="majorEastAsia" w:eastAsiaTheme="majorEastAsia" w:cstheme="majorEastAsia"/>
          <w:bCs/>
          <w:snapToGrid w:val="0"/>
          <w:color w:val="000000"/>
          <w:kern w:val="0"/>
          <w:sz w:val="20"/>
          <w:szCs w:val="20"/>
          <w:highlight w:val="none"/>
          <w:lang w:val="en-US" w:eastAsia="en-US"/>
        </w:rPr>
        <w:t>天以上，双方应通过友好协商，确定是否继续履行合同。</w:t>
      </w:r>
    </w:p>
    <w:p w14:paraId="20892337">
      <w:pPr>
        <w:spacing w:line="360" w:lineRule="auto"/>
        <w:ind w:firstLine="402" w:firstLineChars="200"/>
        <w:rPr>
          <w:rFonts w:hint="eastAsia" w:ascii="宋体" w:hAnsi="宋体" w:eastAsia="宋体" w:cs="宋体"/>
          <w:bCs/>
          <w:sz w:val="20"/>
          <w:szCs w:val="20"/>
          <w:highlight w:val="none"/>
        </w:rPr>
      </w:pPr>
      <w:r>
        <w:rPr>
          <w:rFonts w:hint="eastAsia" w:ascii="宋体" w:hAnsi="宋体" w:eastAsia="宋体" w:cs="宋体"/>
          <w:b/>
          <w:bCs w:val="0"/>
          <w:sz w:val="20"/>
          <w:szCs w:val="20"/>
          <w:highlight w:val="none"/>
        </w:rPr>
        <w:t>第</w:t>
      </w:r>
      <w:r>
        <w:rPr>
          <w:rFonts w:hint="eastAsia" w:ascii="宋体" w:hAnsi="宋体" w:eastAsia="宋体" w:cs="宋体"/>
          <w:b/>
          <w:bCs w:val="0"/>
          <w:sz w:val="20"/>
          <w:szCs w:val="20"/>
          <w:highlight w:val="none"/>
          <w:lang w:val="en-US" w:eastAsia="zh-CN"/>
        </w:rPr>
        <w:t>十一</w:t>
      </w:r>
      <w:r>
        <w:rPr>
          <w:rFonts w:hint="eastAsia" w:ascii="宋体" w:hAnsi="宋体" w:eastAsia="宋体" w:cs="宋体"/>
          <w:b/>
          <w:bCs w:val="0"/>
          <w:sz w:val="20"/>
          <w:szCs w:val="20"/>
          <w:highlight w:val="none"/>
        </w:rPr>
        <w:t>条  合同的变更和终止</w:t>
      </w:r>
    </w:p>
    <w:p w14:paraId="1F78EED3">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rPr>
        <w:t>除</w:t>
      </w:r>
      <w:r>
        <w:rPr>
          <w:rFonts w:hint="eastAsia" w:ascii="宋体" w:hAnsi="宋体" w:eastAsia="宋体" w:cs="宋体"/>
          <w:bCs/>
          <w:sz w:val="20"/>
          <w:szCs w:val="20"/>
          <w:highlight w:val="none"/>
          <w:lang w:val="en-US" w:eastAsia="zh-CN"/>
        </w:rPr>
        <w:t>以下列出的</w:t>
      </w:r>
      <w:r>
        <w:rPr>
          <w:rFonts w:hint="eastAsia" w:ascii="宋体" w:hAnsi="宋体" w:eastAsia="宋体" w:cs="宋体"/>
          <w:bCs/>
          <w:sz w:val="20"/>
          <w:szCs w:val="20"/>
          <w:highlight w:val="none"/>
        </w:rPr>
        <w:t>《中华人民共和国政府采购法》第49条、第50条第二款规定的情形外</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rPr>
        <w:t>本合同一经签订，甲乙双方不得擅自变更、中止或终止合同</w:t>
      </w:r>
      <w:r>
        <w:rPr>
          <w:rFonts w:hint="eastAsia" w:ascii="宋体" w:hAnsi="宋体" w:eastAsia="宋体" w:cs="宋体"/>
          <w:bCs/>
          <w:sz w:val="20"/>
          <w:szCs w:val="20"/>
          <w:highlight w:val="none"/>
          <w:lang w:eastAsia="zh-CN"/>
        </w:rPr>
        <w:t>；</w:t>
      </w:r>
    </w:p>
    <w:p w14:paraId="71B946BE">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1、</w:t>
      </w:r>
      <w:r>
        <w:rPr>
          <w:rFonts w:hint="eastAsia" w:ascii="宋体" w:hAnsi="宋体" w:eastAsia="宋体" w:cs="宋体"/>
          <w:bCs/>
          <w:sz w:val="20"/>
          <w:szCs w:val="20"/>
          <w:highlight w:val="none"/>
        </w:rPr>
        <w:t>政府采购合同履行中，</w:t>
      </w:r>
      <w:r>
        <w:rPr>
          <w:rFonts w:hint="eastAsia" w:ascii="宋体" w:hAnsi="宋体" w:eastAsia="宋体" w:cs="宋体"/>
          <w:bCs/>
          <w:sz w:val="20"/>
          <w:szCs w:val="20"/>
          <w:highlight w:val="none"/>
          <w:lang w:val="en-US" w:eastAsia="zh-CN"/>
        </w:rPr>
        <w:t>甲方</w:t>
      </w:r>
      <w:r>
        <w:rPr>
          <w:rFonts w:hint="eastAsia" w:ascii="宋体" w:hAnsi="宋体" w:eastAsia="宋体" w:cs="宋体"/>
          <w:bCs/>
          <w:sz w:val="20"/>
          <w:szCs w:val="20"/>
          <w:highlight w:val="none"/>
        </w:rPr>
        <w:t>需追加与合同标的相同的货物、工程或者服务的，在不改变合同其他条款的前提下，可以与</w:t>
      </w:r>
      <w:r>
        <w:rPr>
          <w:rFonts w:hint="eastAsia" w:ascii="宋体" w:hAnsi="宋体" w:eastAsia="宋体" w:cs="宋体"/>
          <w:bCs/>
          <w:sz w:val="20"/>
          <w:szCs w:val="20"/>
          <w:highlight w:val="none"/>
          <w:lang w:val="en-US" w:eastAsia="zh-CN"/>
        </w:rPr>
        <w:t>乙方</w:t>
      </w:r>
      <w:r>
        <w:rPr>
          <w:rFonts w:hint="eastAsia" w:ascii="宋体" w:hAnsi="宋体" w:eastAsia="宋体" w:cs="宋体"/>
          <w:bCs/>
          <w:sz w:val="20"/>
          <w:szCs w:val="20"/>
          <w:highlight w:val="none"/>
        </w:rPr>
        <w:t>协商签订补充合同，但所有补充合同的采购金额不得超过原合同采购金额的百分之十</w:t>
      </w:r>
      <w:r>
        <w:rPr>
          <w:rFonts w:hint="eastAsia" w:ascii="宋体" w:hAnsi="宋体" w:eastAsia="宋体" w:cs="宋体"/>
          <w:bCs/>
          <w:sz w:val="20"/>
          <w:szCs w:val="20"/>
          <w:highlight w:val="none"/>
          <w:lang w:eastAsia="zh-CN"/>
        </w:rPr>
        <w:t>；</w:t>
      </w:r>
    </w:p>
    <w:p w14:paraId="12251015">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lang w:val="en-US" w:eastAsia="zh-CN"/>
        </w:rPr>
        <w:t>2、</w:t>
      </w:r>
      <w:r>
        <w:rPr>
          <w:rFonts w:hint="eastAsia" w:ascii="宋体" w:hAnsi="宋体" w:eastAsia="宋体" w:cs="宋体"/>
          <w:bCs/>
          <w:sz w:val="20"/>
          <w:szCs w:val="20"/>
          <w:highlight w:val="none"/>
        </w:rPr>
        <w:t>政府采购合同继续履行将损害国家利益和社会公共利益的，双方当事人应当变更、中止或者终止合同。有过错的一方应当承担赔偿责任，双方都有过错的，各自承担相应的责任。</w:t>
      </w:r>
    </w:p>
    <w:p w14:paraId="0BEBB9E1">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第十</w:t>
      </w:r>
      <w:r>
        <w:rPr>
          <w:rFonts w:hint="eastAsia" w:ascii="宋体" w:hAnsi="宋体" w:eastAsia="宋体" w:cs="宋体"/>
          <w:b/>
          <w:bCs w:val="0"/>
          <w:sz w:val="20"/>
          <w:szCs w:val="20"/>
          <w:highlight w:val="none"/>
          <w:lang w:val="en-US" w:eastAsia="zh-CN"/>
        </w:rPr>
        <w:t>二</w:t>
      </w:r>
      <w:r>
        <w:rPr>
          <w:rFonts w:hint="eastAsia" w:ascii="宋体" w:hAnsi="宋体" w:eastAsia="宋体" w:cs="宋体"/>
          <w:b/>
          <w:bCs w:val="0"/>
          <w:sz w:val="20"/>
          <w:szCs w:val="20"/>
          <w:highlight w:val="none"/>
        </w:rPr>
        <w:t>条  解决合同纠纷的方式</w:t>
      </w:r>
    </w:p>
    <w:p w14:paraId="46A66034">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在执行本合同中发生的或与本合同有关的争端，双方应通过友好协商解决，经协商在</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天内不能达成协议时，则采取以下第 1 种方式解决争议：</w:t>
      </w:r>
    </w:p>
    <w:p w14:paraId="45A1C167">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（1）向甲方所在地有管辖权的人民法院提起诉讼；</w:t>
      </w:r>
    </w:p>
    <w:p w14:paraId="08536F37">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（2）向</w:t>
      </w:r>
      <w:r>
        <w:rPr>
          <w:rFonts w:hint="eastAsia" w:ascii="宋体" w:hAnsi="宋体" w:eastAsia="宋体" w:cs="宋体"/>
          <w:bCs/>
          <w:sz w:val="20"/>
          <w:szCs w:val="20"/>
          <w:highlight w:val="none"/>
          <w:u w:val="single"/>
          <w:lang w:val="en-US" w:eastAsia="zh-CN"/>
        </w:rPr>
        <w:t>西安</w:t>
      </w:r>
      <w:r>
        <w:rPr>
          <w:rFonts w:hint="eastAsia" w:ascii="宋体" w:hAnsi="宋体" w:eastAsia="宋体" w:cs="宋体"/>
          <w:bCs/>
          <w:sz w:val="20"/>
          <w:szCs w:val="20"/>
          <w:highlight w:val="none"/>
        </w:rPr>
        <w:t>仲裁委员会按其仲裁规则申请仲裁。</w:t>
      </w:r>
    </w:p>
    <w:p w14:paraId="098B0426">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第十</w:t>
      </w:r>
      <w:r>
        <w:rPr>
          <w:rFonts w:hint="eastAsia" w:ascii="宋体" w:hAnsi="宋体" w:eastAsia="宋体" w:cs="宋体"/>
          <w:b/>
          <w:bCs w:val="0"/>
          <w:sz w:val="20"/>
          <w:szCs w:val="20"/>
          <w:highlight w:val="none"/>
          <w:lang w:val="en-US" w:eastAsia="zh-CN"/>
        </w:rPr>
        <w:t>三</w:t>
      </w:r>
      <w:r>
        <w:rPr>
          <w:rFonts w:hint="eastAsia" w:ascii="宋体" w:hAnsi="宋体" w:eastAsia="宋体" w:cs="宋体"/>
          <w:b/>
          <w:bCs w:val="0"/>
          <w:sz w:val="20"/>
          <w:szCs w:val="20"/>
          <w:highlight w:val="none"/>
        </w:rPr>
        <w:t>条  合同生效及其他</w:t>
      </w:r>
    </w:p>
    <w:p w14:paraId="6A9FC375">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rPr>
        <w:t>1、合同经双方法定代表人（单位负责人）签字并加盖单位公章后生效</w:t>
      </w:r>
      <w:r>
        <w:rPr>
          <w:rFonts w:hint="eastAsia" w:ascii="宋体" w:hAnsi="宋体" w:eastAsia="宋体" w:cs="宋体"/>
          <w:bCs/>
          <w:sz w:val="20"/>
          <w:szCs w:val="20"/>
          <w:highlight w:val="none"/>
          <w:lang w:eastAsia="zh-CN"/>
        </w:rPr>
        <w:t>；</w:t>
      </w:r>
    </w:p>
    <w:p w14:paraId="1DAB73B1">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rPr>
        <w:t>2、合同执行中涉及采购资金和采购内容修改或补充的，须经政府采购监管部门审批，并签书面补充协议报政府采购监督管理部门备案，方可作为主合同不可分割的一部分</w:t>
      </w:r>
      <w:r>
        <w:rPr>
          <w:rFonts w:hint="eastAsia" w:ascii="宋体" w:hAnsi="宋体" w:eastAsia="宋体" w:cs="宋体"/>
          <w:bCs/>
          <w:sz w:val="20"/>
          <w:szCs w:val="20"/>
          <w:highlight w:val="none"/>
          <w:lang w:eastAsia="zh-CN"/>
        </w:rPr>
        <w:t>；</w:t>
      </w:r>
    </w:p>
    <w:p w14:paraId="2B88713F">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3、本合同一式陆份，甲方贰份，乙方贰份，政府采购代理机构壹份，同级财政部门备案壹份，具有同等法律效力。</w:t>
      </w:r>
    </w:p>
    <w:p w14:paraId="75ABBD29"/>
    <w:p w14:paraId="41A19149"/>
    <w:p w14:paraId="588F447C">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 xml:space="preserve">甲    方：         （盖章）   </w:t>
      </w:r>
      <w:r>
        <w:rPr>
          <w:rFonts w:hint="eastAsia" w:ascii="宋体" w:hAnsi="宋体" w:eastAsia="宋体" w:cs="宋体"/>
          <w:bCs/>
          <w:sz w:val="20"/>
          <w:szCs w:val="20"/>
          <w:highlight w:val="none"/>
        </w:rPr>
        <w:tab/>
      </w:r>
      <w:r>
        <w:rPr>
          <w:rFonts w:hint="eastAsia" w:ascii="宋体" w:hAnsi="宋体" w:eastAsia="宋体" w:cs="宋体"/>
          <w:bCs/>
          <w:sz w:val="20"/>
          <w:szCs w:val="20"/>
          <w:highlight w:val="none"/>
        </w:rPr>
        <w:t xml:space="preserve">     乙方：              （盖章）</w:t>
      </w:r>
    </w:p>
    <w:p w14:paraId="7D29D35B">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法定代表人：       （单位负责人）    法定代表人：        （单位负责人）</w:t>
      </w:r>
    </w:p>
    <w:p w14:paraId="74D61782">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地    址：                           地    址：</w:t>
      </w:r>
    </w:p>
    <w:p w14:paraId="34104ED3">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开户银行：                           开户银行：</w:t>
      </w:r>
    </w:p>
    <w:p w14:paraId="2BB6721C">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账    号：                           账    号：</w:t>
      </w:r>
    </w:p>
    <w:p w14:paraId="3BBFAB3E">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电    话：                           电    话：</w:t>
      </w:r>
    </w:p>
    <w:p w14:paraId="0ACB05BE">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传    真：                           传    真：</w:t>
      </w:r>
    </w:p>
    <w:p w14:paraId="1E20D3D1">
      <w:pPr>
        <w:pStyle w:val="7"/>
        <w:numPr>
          <w:ilvl w:val="0"/>
          <w:numId w:val="0"/>
        </w:numPr>
        <w:spacing w:line="360" w:lineRule="auto"/>
        <w:ind w:firstLine="400" w:firstLineChars="200"/>
        <w:jc w:val="left"/>
        <w:rPr>
          <w:rFonts w:hint="eastAsia" w:ascii="宋体" w:hAnsi="宋体" w:eastAsia="宋体" w:cs="宋体"/>
          <w:bCs/>
          <w:sz w:val="20"/>
          <w:szCs w:val="20"/>
          <w:highlight w:val="none"/>
        </w:rPr>
      </w:pPr>
      <w:r>
        <w:rPr>
          <w:rFonts w:hint="eastAsia" w:ascii="宋体" w:hAnsi="宋体" w:eastAsia="宋体" w:cs="宋体"/>
          <w:bCs/>
          <w:sz w:val="20"/>
          <w:szCs w:val="20"/>
          <w:highlight w:val="none"/>
        </w:rPr>
        <w:t xml:space="preserve">签约日期：   年   月   日 </w:t>
      </w:r>
      <w:r>
        <w:rPr>
          <w:rFonts w:hint="eastAsia" w:ascii="宋体" w:hAnsi="宋体" w:eastAsia="宋体" w:cs="宋体"/>
          <w:bCs/>
          <w:sz w:val="20"/>
          <w:szCs w:val="20"/>
          <w:highlight w:val="none"/>
        </w:rPr>
        <w:tab/>
      </w:r>
      <w:r>
        <w:rPr>
          <w:rFonts w:hint="eastAsia" w:ascii="宋体" w:hAnsi="宋体" w:eastAsia="宋体" w:cs="宋体"/>
          <w:bCs/>
          <w:sz w:val="20"/>
          <w:szCs w:val="20"/>
          <w:highlight w:val="none"/>
        </w:rPr>
        <w:tab/>
      </w:r>
      <w:r>
        <w:rPr>
          <w:rFonts w:hint="eastAsia" w:ascii="宋体" w:hAnsi="宋体" w:eastAsia="宋体" w:cs="宋体"/>
          <w:bCs/>
          <w:sz w:val="20"/>
          <w:szCs w:val="20"/>
          <w:highlight w:val="none"/>
        </w:rPr>
        <w:tab/>
      </w:r>
      <w:r>
        <w:rPr>
          <w:rFonts w:hint="eastAsia" w:ascii="宋体" w:hAnsi="宋体" w:eastAsia="宋体" w:cs="宋体"/>
          <w:bCs/>
          <w:sz w:val="20"/>
          <w:szCs w:val="20"/>
          <w:highlight w:val="none"/>
        </w:rPr>
        <w:t xml:space="preserve"> 签约日期：   年   月   日</w:t>
      </w:r>
    </w:p>
    <w:p w14:paraId="3F9453CB">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4"/>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6B0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after="330" w:line="576" w:lineRule="auto"/>
      <w:jc w:val="center"/>
      <w:outlineLvl w:val="0"/>
    </w:pPr>
    <w:rPr>
      <w:rFonts w:ascii="Times New Roman" w:hAnsi="Times New Roman" w:eastAsia="黑体"/>
      <w:kern w:val="44"/>
      <w:sz w:val="44"/>
      <w:szCs w:val="20"/>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ascii="Arial" w:hAnsi="Arial" w:eastAsia="Arial" w:cs="Arial"/>
      <w:sz w:val="21"/>
      <w:szCs w:val="21"/>
      <w:lang w:val="en-US" w:eastAsia="en-US" w:bidi="ar-SA"/>
    </w:rPr>
  </w:style>
  <w:style w:type="paragraph" w:styleId="4">
    <w:name w:val="Body Text 2"/>
    <w:basedOn w:val="1"/>
    <w:qFormat/>
    <w:uiPriority w:val="0"/>
    <w:rPr>
      <w:rFonts w:ascii="楷体_GB2312" w:hAnsi="Copperplate Gothic Bold" w:eastAsia="楷体_GB2312"/>
      <w:sz w:val="28"/>
    </w:rPr>
  </w:style>
  <w:style w:type="paragraph" w:customStyle="1" w:styleId="7">
    <w:name w:val="null3"/>
    <w:autoRedefine/>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2026-05-08T02:19:34Z</dcterms:created>
  <dc:creator>Administrator</dc:creator>
  <cp:lastModifiedBy>豆本豆</cp:lastModifiedBy>
  <dcterms:modified xsi:type="dcterms:W3CDTF">2026-05-08T02:19:48Z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54DD84D57749436BABA05A34AD3CD8B0_12</vt:lpwstr>
  </property>
</Properties>
</file>