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版本号：SYCG-TP-202601520260914002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金财工程网络设备采购项目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SYCG-TP-2026015</w:t>
      </w:r>
      <w:r>
        <w:br/>
      </w:r>
      <w:r>
        <w:br/>
      </w:r>
      <w:r>
        <w:br/>
      </w:r>
    </w:p>
    <w:p>
      <w:pPr>
        <w:pStyle w:val="null3"/>
        <w:jc w:val="center"/>
        <w:outlineLvl w:val="2"/>
      </w:pPr>
      <w:r>
        <w:rPr>
          <w:rFonts w:ascii="仿宋_GB2312" w:hAnsi="仿宋_GB2312" w:cs="仿宋_GB2312" w:eastAsia="仿宋_GB2312"/>
          <w:sz w:val="28"/>
          <w:b/>
        </w:rPr>
        <w:t>山阳县财政信息中心</w:t>
      </w:r>
    </w:p>
    <w:p>
      <w:pPr>
        <w:pStyle w:val="null3"/>
        <w:jc w:val="center"/>
        <w:outlineLvl w:val="2"/>
      </w:pPr>
      <w:r>
        <w:rPr>
          <w:rFonts w:ascii="仿宋_GB2312" w:hAnsi="仿宋_GB2312" w:cs="仿宋_GB2312" w:eastAsia="仿宋_GB2312"/>
          <w:sz w:val="28"/>
          <w:b/>
        </w:rPr>
        <w:t>山阳县政府采购中心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山阳县政府采购中心</w:t>
      </w:r>
      <w:r>
        <w:rPr>
          <w:rFonts w:ascii="仿宋_GB2312" w:hAnsi="仿宋_GB2312" w:cs="仿宋_GB2312" w:eastAsia="仿宋_GB2312"/>
        </w:rPr>
        <w:t>（以下简称“代理机构”）受</w:t>
      </w:r>
      <w:r>
        <w:rPr>
          <w:rFonts w:ascii="仿宋_GB2312" w:hAnsi="仿宋_GB2312" w:cs="仿宋_GB2312" w:eastAsia="仿宋_GB2312"/>
        </w:rPr>
        <w:t>山阳县财政信息中心</w:t>
      </w:r>
      <w:r>
        <w:rPr>
          <w:rFonts w:ascii="仿宋_GB2312" w:hAnsi="仿宋_GB2312" w:cs="仿宋_GB2312" w:eastAsia="仿宋_GB2312"/>
        </w:rPr>
        <w:t>委托，拟对</w:t>
      </w:r>
      <w:r>
        <w:rPr>
          <w:rFonts w:ascii="仿宋_GB2312" w:hAnsi="仿宋_GB2312" w:cs="仿宋_GB2312" w:eastAsia="仿宋_GB2312"/>
        </w:rPr>
        <w:t>金财工程网络设备采购项目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SYCG-TP-2026015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金财工程网络设备采购项目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机房位于山阳县城投综合楼8楼，面积为40平方米。机房内部依据功能不同，划分为设备区、监控区。其中，设备区面积约为40平方米，主要用于放置服务器、存储设备、网络设备、配电设施、空调设施等核心硬件设施；监控区面积约40平方米，安装有环境监测系统、安防系统等设备，用于实时监测机房的温湿度、电力状态、设备运行情况以及防范非法入侵等安全威胁，两个区域布局合理，既保证了设备的集中管理和高效运行，又满足了维护操作的便利性和安全性要求。本次网络机房设备评估全面、系统地对机房的物理环境、设备设施、安全措施等方面进行了检查与分析。评估结果表明，机房在长期运行过程中，为山阳县财政局的业务开展提供了重要支持，但也暴露出一些不容忽视的问题。 在物理环境方面，虽配备了精密空调、双路市电接入、备用电源系统以及完善的防火措施。UPS电池组老化，部分灭火设备临近保质期，这些问题对机房设备的稳定运行和数据安全构成潜在威胁。 设备设施上，网络设备性能出现瓶颈，设备老化严重，故障频繁，将影响业务系统的响应速度和网络的稳定性，阻碍业务的正常发展。 及时采取针对性的改进措施对于保障机房的稳定运行、提升设备性能、增强安全防护能力至关重要。通过实施改进建议，如对物理环境设备进行维护、升级和优化管理；对设备设施进行性能升级、老化设备更换等，有望显著提升机房的整体运行水平和安全性。这将降低设备故障率，减少业务中断风险，提高数据的安全性和完整性，满足山阳县财政局不断发展的业务需求，为其数字化转型和创新发展提供坚实的技术支撑，进而提升山阳县财政局整体的信息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山阳县财政信息中心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陕西省商洛市山阳县城关街道西河新区城投综合楼八楼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0914-8380319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山阳县政府采购中心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18992451689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任一</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任一</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任一</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山阳县财政信息中心</w:t>
      </w:r>
      <w:r>
        <w:rPr>
          <w:rFonts w:ascii="仿宋_GB2312" w:hAnsi="仿宋_GB2312" w:cs="仿宋_GB2312" w:eastAsia="仿宋_GB2312"/>
        </w:rPr>
        <w:t>和</w:t>
      </w:r>
      <w:r>
        <w:rPr>
          <w:rFonts w:ascii="仿宋_GB2312" w:hAnsi="仿宋_GB2312" w:cs="仿宋_GB2312" w:eastAsia="仿宋_GB2312"/>
        </w:rPr>
        <w:t>山阳县政府采购中心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山阳县财政信息中心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山阳县政府采购中心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山阳县财政信息中心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山阳县政府采购中心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1.所有涉及知识产权的产品及设计，供应商必须确保采购人拥有其合法的、不受限制的无偿使用权，并免受任何侵权诉讼或索偿，否则，由此产生的一切经济损失和法律责任由供应商承担。 2.由采购人向供应商提供的用户需求书、图纸、样品、模型、模件和所有资料，供应商获得后，应对其保密。除非采购人同意，供应商不得向第三方透露或将其用于本次磋商以外的任何用途。响应文件开启后，若采购人有要求，供应商须归还采购人认为需保密的文件和资料，并销毁所有相应的备份文件及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山阳县财政信息中心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联系人：王老师</w:t>
      </w:r>
    </w:p>
    <w:p>
      <w:pPr>
        <w:pStyle w:val="null3"/>
      </w:pPr>
      <w:r>
        <w:rPr>
          <w:rFonts w:ascii="仿宋_GB2312" w:hAnsi="仿宋_GB2312" w:cs="仿宋_GB2312" w:eastAsia="仿宋_GB2312"/>
        </w:rPr>
        <w:t>联系电话：18992455229</w:t>
      </w:r>
    </w:p>
    <w:p>
      <w:pPr>
        <w:pStyle w:val="null3"/>
      </w:pPr>
      <w:r>
        <w:rPr>
          <w:rFonts w:ascii="仿宋_GB2312" w:hAnsi="仿宋_GB2312" w:cs="仿宋_GB2312" w:eastAsia="仿宋_GB2312"/>
        </w:rPr>
        <w:t>地址：陕西省商洛市山阳县城关街道西河新区城投综合楼八楼</w:t>
      </w:r>
    </w:p>
    <w:p>
      <w:pPr>
        <w:pStyle w:val="null3"/>
      </w:pPr>
      <w:r>
        <w:rPr>
          <w:rFonts w:ascii="仿宋_GB2312" w:hAnsi="仿宋_GB2312" w:cs="仿宋_GB2312" w:eastAsia="仿宋_GB2312"/>
        </w:rPr>
        <w:t>邮编：726400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联系电话：18992451689</w:t>
      </w:r>
    </w:p>
    <w:p>
      <w:pPr>
        <w:pStyle w:val="null3"/>
      </w:pPr>
      <w:r>
        <w:rPr>
          <w:rFonts w:ascii="仿宋_GB2312" w:hAnsi="仿宋_GB2312" w:cs="仿宋_GB2312" w:eastAsia="仿宋_GB2312"/>
        </w:rPr>
        <w:t>地址：陕西省商洛市山阳县城关街道西河新区城投综合楼八楼</w:t>
      </w:r>
    </w:p>
    <w:p>
      <w:pPr>
        <w:pStyle w:val="null3"/>
      </w:pPr>
      <w:r>
        <w:rPr>
          <w:rFonts w:ascii="仿宋_GB2312" w:hAnsi="仿宋_GB2312" w:cs="仿宋_GB2312" w:eastAsia="仿宋_GB2312"/>
        </w:rPr>
        <w:t>邮编：726400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房位于山阳县城投综合楼8楼，面积为40平方米。机房内部依据功能不同，划分为设备区、监控区。其中，设备区面积约为40平方米，主要用于放置服务器、存储设备、网络设备、配电设施、空调设施等核心硬件设施；监控区面积约40平方米，安装有环境监测系统、安防系统等设备，用于实时监测机房的温湿度、电力状态、设备运行情况以及防范非法入侵等安全威胁，两个区域布局合理，既保证了设备的集中管理和高效运行，又满足了维护操作的便利性和安全性要求。本次网络机房设备评估全面、系统地对机房的物理环境、设备设施、安全措施等方面进行了检查与分析。评估结果表明，机房在长期运行过程中，为山阳县财政局的业务开展提供了重要支持，但也暴露出一些不容忽视的问题。 在物理环境方面，虽配备了精密空调、双路市电接入、备用电源系统以及完善的防火措施。UPS电池组老化，部分灭火设备临近保质期，这些问题对机房设备的稳定运行和数据安全构成潜在威胁。 设备设施上，网络设备性能出现瓶颈，设备老化严重，故障频繁，将影响业务系统的响应速度和网络的稳定性，阻碍业务的正常发展。 及时采取针对性的改进措施对于保障机房的稳定运行、提升设备性能、增强安全防护能力至关重要。通过实施改进建议，如对物理环境设备进行维护、升级和优化管理；对设备设施进行性能升级、老化设备更换等，有望显著提升机房的整体运行水平和安全性。这将降低设备故障率，减少业务中断风险，提高数据的安全性和完整性，满足山阳县财政局不断发展的业务需求，为其数字化转型和创新发展提供坚实的技术支撑，进而提升山阳县财政局整体的信息化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核心交换机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汇聚交换机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接入交换机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接入交换机</w:t>
            </w:r>
          </w:p>
        </w:tc>
        <w:tc>
          <w:tcPr>
            <w:tcW w:type="dxa" w:w="755"/>
          </w:tcPr>
          <w:p>
            <w:pPr>
              <w:pStyle w:val="null3"/>
              <w:jc w:val="right"/>
            </w:pPr>
            <w:r>
              <w:rPr>
                <w:rFonts w:ascii="仿宋_GB2312" w:hAnsi="仿宋_GB2312" w:cs="仿宋_GB2312" w:eastAsia="仿宋_GB2312"/>
              </w:rPr>
              <w:t>17.00</w:t>
            </w:r>
          </w:p>
        </w:tc>
        <w:tc>
          <w:tcPr>
            <w:tcW w:type="dxa" w:w="755"/>
          </w:tcPr>
          <w:p>
            <w:pPr>
              <w:pStyle w:val="null3"/>
              <w:jc w:val="right"/>
            </w:pPr>
            <w:r>
              <w:rPr>
                <w:rFonts w:ascii="仿宋_GB2312" w:hAnsi="仿宋_GB2312" w:cs="仿宋_GB2312" w:eastAsia="仿宋_GB2312"/>
              </w:rPr>
              <w:t>59,500.00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路由器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蓄电池组</w:t>
            </w:r>
          </w:p>
        </w:tc>
        <w:tc>
          <w:tcPr>
            <w:tcW w:type="dxa" w:w="755"/>
          </w:tcPr>
          <w:p>
            <w:pPr>
              <w:pStyle w:val="null3"/>
              <w:jc w:val="right"/>
            </w:pPr>
            <w:r>
              <w:rPr>
                <w:rFonts w:ascii="仿宋_GB2312" w:hAnsi="仿宋_GB2312" w:cs="仿宋_GB2312" w:eastAsia="仿宋_GB2312"/>
              </w:rPr>
              <w:t>21.00</w:t>
            </w:r>
          </w:p>
        </w:tc>
        <w:tc>
          <w:tcPr>
            <w:tcW w:type="dxa" w:w="755"/>
          </w:tcPr>
          <w:p>
            <w:pPr>
              <w:pStyle w:val="null3"/>
              <w:jc w:val="right"/>
            </w:pPr>
            <w:r>
              <w:rPr>
                <w:rFonts w:ascii="仿宋_GB2312" w:hAnsi="仿宋_GB2312" w:cs="仿宋_GB2312" w:eastAsia="仿宋_GB2312"/>
              </w:rPr>
              <w:t>33,600.00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标的名称：核心交换机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交换容量≥102Tbps，包转发率≥76800Mpps；</w:t>
            </w:r>
            <w:r>
              <w:br/>
            </w:r>
            <w:r>
              <w:rPr>
                <w:rFonts w:ascii="仿宋_GB2312" w:hAnsi="仿宋_GB2312" w:cs="仿宋_GB2312" w:eastAsia="仿宋_GB2312"/>
              </w:rPr>
              <w:t xml:space="preserve"> 2. 主控引擎槽位数≥2，整机业务板卡槽位数≥4；</w:t>
            </w:r>
            <w:r>
              <w:br/>
            </w:r>
            <w:r>
              <w:rPr>
                <w:rFonts w:ascii="仿宋_GB2312" w:hAnsi="仿宋_GB2312" w:cs="仿宋_GB2312" w:eastAsia="仿宋_GB2312"/>
              </w:rPr>
              <w:t xml:space="preserve"> 3. 整机CPU芯片及交换芯片须为国产自主可控芯片，投标时须提供芯片品牌及型号，并出具芯片厂商提供的国产化证明材料或工信部所属机构出具的芯片国产化认证报告；</w:t>
            </w:r>
            <w:r>
              <w:br/>
            </w:r>
            <w:r>
              <w:rPr>
                <w:rFonts w:ascii="仿宋_GB2312" w:hAnsi="仿宋_GB2312" w:cs="仿宋_GB2312" w:eastAsia="仿宋_GB2312"/>
              </w:rPr>
              <w:t xml:space="preserve"> 4. 主控板上的业务端口在主控板复位或故障切换过程中，业务转发不中断，投标时须提供产品功能截图或技术白皮书证明，中标后供货前提供第三方检测报告供采购人核验；</w:t>
            </w:r>
            <w:r>
              <w:br/>
            </w:r>
            <w:r>
              <w:rPr>
                <w:rFonts w:ascii="仿宋_GB2312" w:hAnsi="仿宋_GB2312" w:cs="仿宋_GB2312" w:eastAsia="仿宋_GB2312"/>
              </w:rPr>
              <w:t xml:space="preserve"> 5. 本次实配要求：</w:t>
            </w:r>
            <w:r>
              <w:br/>
            </w:r>
            <w:r>
              <w:rPr>
                <w:rFonts w:ascii="仿宋_GB2312" w:hAnsi="仿宋_GB2312" w:cs="仿宋_GB2312" w:eastAsia="仿宋_GB2312"/>
              </w:rPr>
              <w:t xml:space="preserve"> 主控引擎：满配2块；</w:t>
            </w:r>
            <w:r>
              <w:br/>
            </w:r>
            <w:r>
              <w:rPr>
                <w:rFonts w:ascii="仿宋_GB2312" w:hAnsi="仿宋_GB2312" w:cs="仿宋_GB2312" w:eastAsia="仿宋_GB2312"/>
              </w:rPr>
              <w:t xml:space="preserve"> 交流电源（≥600W）：≥2个；</w:t>
            </w:r>
            <w:r>
              <w:br/>
            </w:r>
            <w:r>
              <w:rPr>
                <w:rFonts w:ascii="仿宋_GB2312" w:hAnsi="仿宋_GB2312" w:cs="仿宋_GB2312" w:eastAsia="仿宋_GB2312"/>
              </w:rPr>
              <w:t xml:space="preserve"> 万兆光口（SFP+）：≥48个；</w:t>
            </w:r>
            <w:r>
              <w:br/>
            </w:r>
            <w:r>
              <w:rPr>
                <w:rFonts w:ascii="仿宋_GB2312" w:hAnsi="仿宋_GB2312" w:cs="仿宋_GB2312" w:eastAsia="仿宋_GB2312"/>
              </w:rPr>
              <w:t xml:space="preserve"> 千兆电口：≥48个；</w:t>
            </w:r>
            <w:r>
              <w:br/>
            </w:r>
            <w:r>
              <w:rPr>
                <w:rFonts w:ascii="仿宋_GB2312" w:hAnsi="仿宋_GB2312" w:cs="仿宋_GB2312" w:eastAsia="仿宋_GB2312"/>
              </w:rPr>
              <w:t xml:space="preserve"> 堆叠线缆：≥1根（须满足两台设备堆叠组网需求）；</w:t>
            </w:r>
            <w:r>
              <w:br/>
            </w:r>
            <w:r>
              <w:rPr>
                <w:rFonts w:ascii="仿宋_GB2312" w:hAnsi="仿宋_GB2312" w:cs="仿宋_GB2312" w:eastAsia="仿宋_GB2312"/>
              </w:rPr>
              <w:t xml:space="preserve"> 整机原厂硬件质保及软件升级服务：≥3年。</w:t>
            </w:r>
          </w:p>
        </w:tc>
      </w:tr>
    </w:tbl>
    <w:p>
      <w:pPr>
        <w:pStyle w:val="null3"/>
      </w:pPr>
      <w:r>
        <w:rPr>
          <w:rFonts w:ascii="仿宋_GB2312" w:hAnsi="仿宋_GB2312" w:cs="仿宋_GB2312" w:eastAsia="仿宋_GB2312"/>
        </w:rPr>
        <w:t>标的名称：汇聚交换机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整机交换容量≥670Gbps，包转发率≥170Mpps；</w:t>
            </w:r>
            <w:r>
              <w:br/>
            </w:r>
            <w:r>
              <w:rPr>
                <w:rFonts w:ascii="仿宋_GB2312" w:hAnsi="仿宋_GB2312" w:cs="仿宋_GB2312" w:eastAsia="仿宋_GB2312"/>
              </w:rPr>
              <w:t xml:space="preserve"> 2. 端口配置要求：千兆SFP光口≥24个；其中，复用千兆10/100/1000Base-T电口Combo端口≥8个；10GE SFP+上行端口≥4个；</w:t>
            </w:r>
            <w:r>
              <w:br/>
            </w:r>
            <w:r>
              <w:rPr>
                <w:rFonts w:ascii="仿宋_GB2312" w:hAnsi="仿宋_GB2312" w:cs="仿宋_GB2312" w:eastAsia="仿宋_GB2312"/>
              </w:rPr>
              <w:t xml:space="preserve"> 3. 国产化要求：整机转发芯片及CPU芯片须为国产自主可控芯片。投标时须提供芯片品牌及型号，并出具芯片厂商提供的国产化证明材料或工信部所属机构出具的芯片国产化认证报告；</w:t>
            </w:r>
            <w:r>
              <w:br/>
            </w:r>
            <w:r>
              <w:rPr>
                <w:rFonts w:ascii="仿宋_GB2312" w:hAnsi="仿宋_GB2312" w:cs="仿宋_GB2312" w:eastAsia="仿宋_GB2312"/>
              </w:rPr>
              <w:t xml:space="preserve"> 4. 本次实配要求：整机原厂硬件质保及软件升级服务≥3年。</w:t>
            </w:r>
            <w:r>
              <w:br/>
            </w:r>
            <w:r>
              <w:rPr>
                <w:rFonts w:ascii="仿宋_GB2312" w:hAnsi="仿宋_GB2312" w:cs="仿宋_GB2312" w:eastAsia="仿宋_GB2312"/>
              </w:rPr>
              <w:t xml:space="preserve"> 5. 其他要求：须为本项目配套万兆双纤光模块不少于20个，配套千兆光模块不少于40个。最终数量须满足设备实际需求。</w:t>
            </w:r>
          </w:p>
        </w:tc>
      </w:tr>
    </w:tbl>
    <w:p>
      <w:pPr>
        <w:pStyle w:val="null3"/>
      </w:pPr>
      <w:r>
        <w:rPr>
          <w:rFonts w:ascii="仿宋_GB2312" w:hAnsi="仿宋_GB2312" w:cs="仿宋_GB2312" w:eastAsia="仿宋_GB2312"/>
        </w:rPr>
        <w:t>标的名称：接入交换机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整机交换容量≥670Gbps，包转发率≥170Mpps；</w:t>
            </w:r>
            <w:r>
              <w:br/>
            </w:r>
            <w:r>
              <w:rPr>
                <w:rFonts w:ascii="仿宋_GB2312" w:hAnsi="仿宋_GB2312" w:cs="仿宋_GB2312" w:eastAsia="仿宋_GB2312"/>
              </w:rPr>
              <w:t xml:space="preserve"> 2. 端口配置要求：</w:t>
            </w:r>
            <w:r>
              <w:br/>
            </w:r>
            <w:r>
              <w:rPr>
                <w:rFonts w:ascii="仿宋_GB2312" w:hAnsi="仿宋_GB2312" w:cs="仿宋_GB2312" w:eastAsia="仿宋_GB2312"/>
              </w:rPr>
              <w:t xml:space="preserve"> 千兆SFP光口≥24个，其中不少于4个为千兆Combo口（复用10/100/1000Base-T电口）；</w:t>
            </w:r>
            <w:r>
              <w:br/>
            </w:r>
            <w:r>
              <w:rPr>
                <w:rFonts w:ascii="仿宋_GB2312" w:hAnsi="仿宋_GB2312" w:cs="仿宋_GB2312" w:eastAsia="仿宋_GB2312"/>
              </w:rPr>
              <w:t xml:space="preserve"> 3. 国产化要求：</w:t>
            </w:r>
            <w:r>
              <w:br/>
            </w:r>
            <w:r>
              <w:rPr>
                <w:rFonts w:ascii="仿宋_GB2312" w:hAnsi="仿宋_GB2312" w:cs="仿宋_GB2312" w:eastAsia="仿宋_GB2312"/>
              </w:rPr>
              <w:t xml:space="preserve"> 整机转发芯片及CPU芯片须为国产自主可控芯片。投标时须提供芯片品牌及型号，并出具芯片厂商提供的国产化证明材料或工信部所属机构出具的芯片国产化认证报告；</w:t>
            </w:r>
            <w:r>
              <w:br/>
            </w:r>
            <w:r>
              <w:rPr>
                <w:rFonts w:ascii="仿宋_GB2312" w:hAnsi="仿宋_GB2312" w:cs="仿宋_GB2312" w:eastAsia="仿宋_GB2312"/>
              </w:rPr>
              <w:t xml:space="preserve"> 4. 本次实配要求：</w:t>
            </w:r>
            <w:r>
              <w:br/>
            </w:r>
            <w:r>
              <w:rPr>
                <w:rFonts w:ascii="仿宋_GB2312" w:hAnsi="仿宋_GB2312" w:cs="仿宋_GB2312" w:eastAsia="仿宋_GB2312"/>
              </w:rPr>
              <w:t xml:space="preserve"> 整机原厂硬件质保及软件升级服务≥3年。</w:t>
            </w:r>
          </w:p>
        </w:tc>
      </w:tr>
    </w:tbl>
    <w:p>
      <w:pPr>
        <w:pStyle w:val="null3"/>
      </w:pPr>
      <w:r>
        <w:rPr>
          <w:rFonts w:ascii="仿宋_GB2312" w:hAnsi="仿宋_GB2312" w:cs="仿宋_GB2312" w:eastAsia="仿宋_GB2312"/>
        </w:rPr>
        <w:t>标的名称：接入交换机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整机交换容量≥670Gbps，包转发率≥160Mpps；</w:t>
            </w:r>
            <w:r>
              <w:br/>
            </w:r>
            <w:r>
              <w:rPr>
                <w:rFonts w:ascii="仿宋_GB2312" w:hAnsi="仿宋_GB2312" w:cs="仿宋_GB2312" w:eastAsia="仿宋_GB2312"/>
              </w:rPr>
              <w:t xml:space="preserve"> 2. 端口配置要求：</w:t>
            </w:r>
            <w:r>
              <w:br/>
            </w:r>
            <w:r>
              <w:rPr>
                <w:rFonts w:ascii="仿宋_GB2312" w:hAnsi="仿宋_GB2312" w:cs="仿宋_GB2312" w:eastAsia="仿宋_GB2312"/>
              </w:rPr>
              <w:t xml:space="preserve"> 千兆10/100/1000Base-T以太网电口≥48个；</w:t>
            </w:r>
            <w:r>
              <w:br/>
            </w:r>
            <w:r>
              <w:rPr>
                <w:rFonts w:ascii="仿宋_GB2312" w:hAnsi="仿宋_GB2312" w:cs="仿宋_GB2312" w:eastAsia="仿宋_GB2312"/>
              </w:rPr>
              <w:t xml:space="preserve"> 千兆SFP光口≥4个；</w:t>
            </w:r>
            <w:r>
              <w:br/>
            </w:r>
            <w:r>
              <w:rPr>
                <w:rFonts w:ascii="仿宋_GB2312" w:hAnsi="仿宋_GB2312" w:cs="仿宋_GB2312" w:eastAsia="仿宋_GB2312"/>
              </w:rPr>
              <w:t xml:space="preserve"> 3. 国产化要求：</w:t>
            </w:r>
            <w:r>
              <w:br/>
            </w:r>
            <w:r>
              <w:rPr>
                <w:rFonts w:ascii="仿宋_GB2312" w:hAnsi="仿宋_GB2312" w:cs="仿宋_GB2312" w:eastAsia="仿宋_GB2312"/>
              </w:rPr>
              <w:t xml:space="preserve"> 整机转发芯片及CPU芯片须为国产自主可控芯片。投标时须提供芯片品牌及型号，并出具芯片厂商提供的国产化证明材料或工信部所属机构出具的芯片国产化认证报告；</w:t>
            </w:r>
            <w:r>
              <w:br/>
            </w:r>
            <w:r>
              <w:rPr>
                <w:rFonts w:ascii="仿宋_GB2312" w:hAnsi="仿宋_GB2312" w:cs="仿宋_GB2312" w:eastAsia="仿宋_GB2312"/>
              </w:rPr>
              <w:t xml:space="preserve"> 4. 本次实配要求：</w:t>
            </w:r>
            <w:r>
              <w:br/>
            </w:r>
            <w:r>
              <w:rPr>
                <w:rFonts w:ascii="仿宋_GB2312" w:hAnsi="仿宋_GB2312" w:cs="仿宋_GB2312" w:eastAsia="仿宋_GB2312"/>
              </w:rPr>
              <w:t xml:space="preserve"> 整机原厂硬件质保及软件升级服务≥3年。</w:t>
            </w:r>
          </w:p>
        </w:tc>
      </w:tr>
    </w:tbl>
    <w:p>
      <w:pPr>
        <w:pStyle w:val="null3"/>
      </w:pPr>
      <w:r>
        <w:rPr>
          <w:rFonts w:ascii="仿宋_GB2312" w:hAnsi="仿宋_GB2312" w:cs="仿宋_GB2312" w:eastAsia="仿宋_GB2312"/>
        </w:rPr>
        <w:t>标的名称：路由器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整机交换容量≥500Gbps，包转发率≥400Mpps；</w:t>
            </w:r>
            <w:r>
              <w:br/>
            </w:r>
            <w:r>
              <w:rPr>
                <w:rFonts w:ascii="仿宋_GB2312" w:hAnsi="仿宋_GB2312" w:cs="仿宋_GB2312" w:eastAsia="仿宋_GB2312"/>
              </w:rPr>
              <w:t xml:space="preserve"> 2. 端口配置要求：</w:t>
            </w:r>
            <w:r>
              <w:br/>
            </w:r>
            <w:r>
              <w:rPr>
                <w:rFonts w:ascii="仿宋_GB2312" w:hAnsi="仿宋_GB2312" w:cs="仿宋_GB2312" w:eastAsia="仿宋_GB2312"/>
              </w:rPr>
              <w:t xml:space="preserve"> 万兆SFP+光口≥6个；</w:t>
            </w:r>
            <w:r>
              <w:br/>
            </w:r>
            <w:r>
              <w:rPr>
                <w:rFonts w:ascii="仿宋_GB2312" w:hAnsi="仿宋_GB2312" w:cs="仿宋_GB2312" w:eastAsia="仿宋_GB2312"/>
              </w:rPr>
              <w:t xml:space="preserve"> 千兆SFP+光口≥4个；</w:t>
            </w:r>
            <w:r>
              <w:br/>
            </w:r>
            <w:r>
              <w:rPr>
                <w:rFonts w:ascii="仿宋_GB2312" w:hAnsi="仿宋_GB2312" w:cs="仿宋_GB2312" w:eastAsia="仿宋_GB2312"/>
              </w:rPr>
              <w:t xml:space="preserve"> 千兆10/100/1000Base-T电口≥8个；</w:t>
            </w:r>
            <w:r>
              <w:br/>
            </w:r>
            <w:r>
              <w:rPr>
                <w:rFonts w:ascii="仿宋_GB2312" w:hAnsi="仿宋_GB2312" w:cs="仿宋_GB2312" w:eastAsia="仿宋_GB2312"/>
              </w:rPr>
              <w:t xml:space="preserve"> 3. 国产化要求：</w:t>
            </w:r>
            <w:r>
              <w:br/>
            </w:r>
            <w:r>
              <w:rPr>
                <w:rFonts w:ascii="仿宋_GB2312" w:hAnsi="仿宋_GB2312" w:cs="仿宋_GB2312" w:eastAsia="仿宋_GB2312"/>
              </w:rPr>
              <w:t xml:space="preserve"> 整机转发芯片及CPU芯片须为国产自主可控芯片。投标时须提供芯片品牌及型号，并出具芯片厂商提供的国产化证明材料或工信部所属机构出具的芯片国产化认证报告；</w:t>
            </w:r>
            <w:r>
              <w:br/>
            </w:r>
            <w:r>
              <w:rPr>
                <w:rFonts w:ascii="仿宋_GB2312" w:hAnsi="仿宋_GB2312" w:cs="仿宋_GB2312" w:eastAsia="仿宋_GB2312"/>
              </w:rPr>
              <w:t xml:space="preserve"> 4. 本次实配要求：</w:t>
            </w:r>
            <w:r>
              <w:br/>
            </w:r>
            <w:r>
              <w:rPr>
                <w:rFonts w:ascii="仿宋_GB2312" w:hAnsi="仿宋_GB2312" w:cs="仿宋_GB2312" w:eastAsia="仿宋_GB2312"/>
              </w:rPr>
              <w:t xml:space="preserve"> 整机原厂硬件质保及软件升级服务≥3年。</w:t>
            </w:r>
          </w:p>
        </w:tc>
      </w:tr>
    </w:tbl>
    <w:p>
      <w:pPr>
        <w:pStyle w:val="null3"/>
      </w:pPr>
      <w:r>
        <w:rPr>
          <w:rFonts w:ascii="仿宋_GB2312" w:hAnsi="仿宋_GB2312" w:cs="仿宋_GB2312" w:eastAsia="仿宋_GB2312"/>
        </w:rPr>
        <w:t>标的名称：蓄电池组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1.规格型号：12V 100Ah 阀控式密封铅酸蓄电池。</w:t>
            </w:r>
            <w:r>
              <w:br/>
            </w:r>
            <w:r>
              <w:rPr>
                <w:rFonts w:ascii="仿宋_GB2312" w:hAnsi="仿宋_GB2312" w:cs="仿宋_GB2312" w:eastAsia="仿宋_GB2312"/>
              </w:rPr>
              <w:t xml:space="preserve"> 2.循环耐久性：在标准测试条件下(建议注明温度及放电深度，如25°C，80% DOD)，循环寿命大于300次，且容量保持率符合国家标准。</w:t>
            </w:r>
            <w:r>
              <w:br/>
            </w:r>
            <w:r>
              <w:rPr>
                <w:rFonts w:ascii="仿宋_GB2312" w:hAnsi="仿宋_GB2312" w:cs="仿宋_GB2312" w:eastAsia="仿宋_GB2312"/>
              </w:rPr>
              <w:t xml:space="preserve"> 3.容量保证：额定容量不低于100Ah(10hr率)，投标产品需为足容量电池，验收时可通过现场称重或抽检放电验证。</w:t>
            </w:r>
            <w:r>
              <w:br/>
            </w:r>
            <w:r>
              <w:rPr>
                <w:rFonts w:ascii="仿宋_GB2312" w:hAnsi="仿宋_GB2312" w:cs="仿宋_GB2312" w:eastAsia="仿宋_GB2312"/>
              </w:rPr>
              <w:t xml:space="preserve"> 4.密封与安全：采用全密封结构，无漏液、无酸雾腐蚀;具备安全阀自动调节功能，防爆、阻燃。</w:t>
            </w:r>
            <w:r>
              <w:br/>
            </w:r>
            <w:r>
              <w:rPr>
                <w:rFonts w:ascii="仿宋_GB2312" w:hAnsi="仿宋_GB2312" w:cs="仿宋_GB2312" w:eastAsia="仿宋_GB2312"/>
              </w:rPr>
              <w:t xml:space="preserve"> 5.提供原厂质保承诺，质保期≥3年；投标时提供第三方检测机构出具的检测报告或产品白皮书证明。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进度款，完成交付并通过验收，达到付款条件起10个工作日内，支付合同总金额的95.0%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进度款，质保期结束，达到付款条件起10个工作日内，支付合同总金额的5.0%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1、谈判文件、响应文件、澄清表（函）； 2、国家相应的标准、规范。 （二）供应商货物经过双方检验认可后，签署验收报告，产品保修期自验收合格之日起算，由供应商提供产品保修文件。 当满足以下条件时，采购人才向供应商签发货物验收报告： 1、供应商已按照合同规定提供了全部产品及完整的技术资料。 2、货物符合谈判文件和响应文件技术规格要求，性能满足要求。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（一）供应商的产品质量应当符合国家行业规定的标准，并无任何瑕疵；供应商应按配置清单要求提供原装全新产品（包括零部件），对该产品实行三包（即包修、包退、包换）。 （二）如交付品种、型号、规格不符合同约定的，由供应商负责退换，由此产生的一切费用及给采购人造成的相关损失由供应商全部承担并赔偿相应损失。 （三）如不能修理或者不能调换的，按不能交货处理，因此给采购人造成的所有经济损失供应商应予赔偿。 （四）如因该产品本身的质量原因而在使用过程中造成的任何事故纠纷，由供应商全额负责赔偿。 （五）本项目全部供货设备，保修期不低于3年。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（二）未按合同要求提供服务或服务质量不能满足合同要求，采购人有权依据《中华人民共和国民法典》有关条款及合同约定终止合同，并要求供应商承担违约责任。 （三）供应商未按合同约定的交货日期交货的，每逾期一日，向采购人支付逾期交付货物价款的 1% 的违约金，但不超过合同总金额的 10% 。供应商支付逾期交货违约金并不免除其交货的责任。 如供应商在政府采购合同规定的交货日期后 10 天内仍未能交货，则视为供应商不能交货，采购人有权解除政府采购合同，供应商除退还已收取的货款外，还应向采购人偿付政府采购合同总金额 10% 的违约金，并承担由此给采购人造成的一切损失。 （四）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（一）实施方案 供应商提供完整的实施方案，内容包含：供货组织及进度安排，对接及运输方案，安装调试方案，人员及物力调配安排。 （二）环境标志产品 供应商所投产品为“环境标志产品政府采购品目清单”内的，应提供该产品的中国环境标志产品认证证书。中国环境标志产品认证证书需由国家确定的认证机构出具且处于有效期内。最终评审报价相同时，以出具有效期内的环境标志产品认证证书较多的，排名优先推荐。 （三）强制采购 采购清单中的货物为强制节能产品，供应商须提供国家确定的认证机构出具的、处于有效期内的节能产品认证证书，且认证证书需包含本次所投产品的具体型号，否则按无效投标处理。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2）财务状况报告：（以下两种资料提供任意一种即可）①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②其开标前三个月内基本开户银行出具的资信证明。（3）书面声明：提供书面声明，包括声明具有履行合同所必需的设备和专业技术能力；未为本项目提供整体设计、规范编制或者项目管理、监理、检测等服务。（4）社保缴纳证明：提供递交响应文件截止之日前一年内任意一个月的社会保障资金缴存单据或社保机构开具的社会保险参保缴费情况证明。依法不需要缴纳社会保障资金的投标人应提供相关文件证明。 （5）税收缴纳证明：提供递交响应文件截止之日前一年内任意一个月的依法缴纳税收的完税证明，完税证明应有税务机关或代收机关的公章或业务专用章。依法免税或无须缴纳税收的供应商，应提供相应证明文件。（6）信用记录：提供《供应商信用记录书面声明函》。经查，供应商未被列入“信用中国”网站记录的“失信被执行人”或“重大税收违法案件当事人”名单；不处于“中国政府采购网”记录的“政府采购严重违法失信行为记录名单”中的禁止参加政府采购活动期间。（7）控股管理关系：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 供应商信用记录书面声明函 控股管理关系 书面声明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本人身份证复印件（附在资格证明文件中）；法定代表人授权他人参加谈判的，须提供法定代表人授权委托书。谈判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本项目不接受联合体响应，不允许分包。供应商应提供《非联合体不分包响应声明》，视为独立响应，不分包。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响应文件封面、语言及有效期</w:t>
            </w:r>
          </w:p>
        </w:tc>
        <w:tc>
          <w:tcPr>
            <w:tcW w:type="dxa" w:w="3322"/>
          </w:tcPr>
          <w:p>
            <w:pPr>
              <w:pStyle w:val="null3"/>
            </w:pPr>
            <w:r>
              <w:rPr>
                <w:rFonts w:ascii="仿宋_GB2312" w:hAnsi="仿宋_GB2312" w:cs="仿宋_GB2312" w:eastAsia="仿宋_GB2312"/>
              </w:rPr>
              <w:t>响应文件封面、语言及有效期满足谈判文件的要求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（3）第一次谈判报价未超出采购预算且未超出谈判文件规定的最高限价。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拒绝政府采购领域商业贿赂承诺书 质量安全责任承诺书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完全理解并接受对合格供应商、合格的货物、服务或工程要求，根据供应商响应文件《产品技术参数表》、《商务应答表》，结合谈判文件“★”标识的实质性响应要求完全响应。</w:t>
            </w:r>
          </w:p>
        </w:tc>
        <w:tc>
          <w:tcPr>
            <w:tcW w:type="dxa" w:w="1661"/>
          </w:tcPr>
          <w:p>
            <w:pPr>
              <w:pStyle w:val="null3"/>
            </w:pPr>
            <w:r>
              <w:rPr>
                <w:rFonts w:ascii="仿宋_GB2312" w:hAnsi="仿宋_GB2312" w:cs="仿宋_GB2312" w:eastAsia="仿宋_GB2312"/>
              </w:rPr>
              <w:t>产品技术参数表 商务应答表 响应方案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合同文本响应承诺</w:t>
            </w:r>
          </w:p>
        </w:tc>
        <w:tc>
          <w:tcPr>
            <w:tcW w:type="dxa" w:w="3322"/>
          </w:tcPr>
          <w:p>
            <w:pPr>
              <w:pStyle w:val="null3"/>
            </w:pPr>
            <w:r>
              <w:rPr>
                <w:rFonts w:ascii="仿宋_GB2312" w:hAnsi="仿宋_GB2312" w:cs="仿宋_GB2312" w:eastAsia="仿宋_GB2312"/>
              </w:rPr>
              <w:t>有完全理解并接受谈判文件有关合同条款要求的承诺。</w:t>
            </w:r>
          </w:p>
        </w:tc>
        <w:tc>
          <w:tcPr>
            <w:tcW w:type="dxa" w:w="1661"/>
          </w:tcPr>
          <w:p>
            <w:pPr>
              <w:pStyle w:val="null3"/>
            </w:pPr>
            <w:r>
              <w:rPr>
                <w:rFonts w:ascii="仿宋_GB2312" w:hAnsi="仿宋_GB2312" w:cs="仿宋_GB2312" w:eastAsia="仿宋_GB2312"/>
              </w:rPr>
              <w:t>合同文本响应承诺</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详见附件：供应商信用记录书面声明函</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详见附件：质量安全责任承诺书</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详见附件：合同文本响应承诺</w:t>
      </w:r>
    </w:p>
    <w:p>
      <w:pPr>
        <w:pStyle w:val="null3"/>
        <w:ind w:firstLine="960"/>
      </w:pPr>
      <w:r>
        <w:rPr>
          <w:rFonts w:ascii="仿宋_GB2312" w:hAnsi="仿宋_GB2312" w:cs="仿宋_GB2312" w:eastAsia="仿宋_GB2312"/>
        </w:rPr>
        <w:t>详见附件：响应方案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