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版本号：SZ2265-GP-DC-099F20260630001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食堂包厨服务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SZ2265-GP-DC-099F</w:t>
      </w:r>
      <w:r>
        <w:br/>
      </w:r>
      <w:r>
        <w:br/>
      </w:r>
      <w:r>
        <w:br/>
      </w:r>
    </w:p>
    <w:p>
      <w:pPr>
        <w:pStyle w:val="null3"/>
        <w:jc w:val="center"/>
        <w:outlineLvl w:val="2"/>
      </w:pPr>
      <w:r>
        <w:rPr>
          <w:rFonts w:ascii="仿宋_GB2312" w:hAnsi="仿宋_GB2312" w:cs="仿宋_GB2312" w:eastAsia="仿宋_GB2312"/>
          <w:sz w:val="28"/>
          <w:b/>
        </w:rPr>
        <w:t>西安市碑林区人民法院[154]</w:t>
      </w:r>
    </w:p>
    <w:p>
      <w:pPr>
        <w:pStyle w:val="null3"/>
        <w:jc w:val="center"/>
        <w:outlineLvl w:val="2"/>
      </w:pPr>
      <w:r>
        <w:rPr>
          <w:rFonts w:ascii="仿宋_GB2312" w:hAnsi="仿宋_GB2312" w:cs="仿宋_GB2312" w:eastAsia="仿宋_GB2312"/>
          <w:sz w:val="28"/>
          <w:b/>
        </w:rPr>
        <w:t>陕西省招标有限责任公司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陕西省招标有限责任公司</w:t>
      </w:r>
      <w:r>
        <w:rPr>
          <w:rFonts w:ascii="仿宋_GB2312" w:hAnsi="仿宋_GB2312" w:cs="仿宋_GB2312" w:eastAsia="仿宋_GB2312"/>
        </w:rPr>
        <w:t>（以下简称“代理机构”）受</w:t>
      </w:r>
      <w:r>
        <w:rPr>
          <w:rFonts w:ascii="仿宋_GB2312" w:hAnsi="仿宋_GB2312" w:cs="仿宋_GB2312" w:eastAsia="仿宋_GB2312"/>
        </w:rPr>
        <w:t>西安市碑林区人民法院[154]</w:t>
      </w:r>
      <w:r>
        <w:rPr>
          <w:rFonts w:ascii="仿宋_GB2312" w:hAnsi="仿宋_GB2312" w:cs="仿宋_GB2312" w:eastAsia="仿宋_GB2312"/>
        </w:rPr>
        <w:t>委托，拟对</w:t>
      </w:r>
      <w:r>
        <w:rPr>
          <w:rFonts w:ascii="仿宋_GB2312" w:hAnsi="仿宋_GB2312" w:cs="仿宋_GB2312" w:eastAsia="仿宋_GB2312"/>
        </w:rPr>
        <w:t>食堂包厨服务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SZ2265-GP-DC-099F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食堂包厨服务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西安市碑林区人民法院[154]职工餐厅餐饮服务项目 ，法院日常就餐人员约220人。中标供应商负责以分餐制的形式供应早、午餐、桌饭形式的会议餐、公务接待餐及其他临时用餐。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采购包1（食堂包厨服务）：属于专门面向中小企业采购。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主体证明资料：供应商应为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pPr>
        <w:pStyle w:val="null3"/>
      </w:pPr>
      <w:r>
        <w:rPr>
          <w:rFonts w:ascii="仿宋_GB2312" w:hAnsi="仿宋_GB2312" w:cs="仿宋_GB2312" w:eastAsia="仿宋_GB2312"/>
        </w:rPr>
        <w:t>2、身份证明：法定代表人参加投标的，须提供本人身份证加盖公章的复印件；法定代表人授权他人参加投标的，须提供法定代表人授权委托书及被授权代表的身份证复印件。</w:t>
      </w:r>
    </w:p>
    <w:p>
      <w:pPr>
        <w:pStyle w:val="null3"/>
      </w:pPr>
      <w:r>
        <w:rPr>
          <w:rFonts w:ascii="仿宋_GB2312" w:hAnsi="仿宋_GB2312" w:cs="仿宋_GB2312" w:eastAsia="仿宋_GB2312"/>
        </w:rPr>
        <w:t>3、财务状况报告：供应商须提供会计师事务所出具的2025年度审计报告或提交响应文件截止时间前6个月内银行出具的资信证明，或信用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税收缴纳证明：供应商须提供税款所属时间为响应文件截止时间前6个月内，至少一个月纳税证明或完税证明（包含增值税或企业所得税至少一种），纳税证明或完税证明上应有代收机构或税务机关的公章或业务专用章；依法免税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5、社会保障资金缴纳证明：供应商须提供缴费月份为响应文件截止时间前6个月内，至少一个月已缴纳的社会保障资金的证明（社会保障资金缴存单据或社保机构开具的社会保险参保缴费情况证明等）；依法不需要缴纳社会保障资金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6、供应商提供具有履行本合同所必需的设备和专业技术能力的承诺函：供应商须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7、信用证明：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供应商需在项目电子化交易系统中按要求上传相应证明文件并进行电子签章（不强制要求供应商提供查询截图，以开标当日，现场网上查询结果为评审依据）；</w:t>
      </w:r>
    </w:p>
    <w:p>
      <w:pPr>
        <w:pStyle w:val="null3"/>
      </w:pPr>
      <w:r>
        <w:rPr>
          <w:rFonts w:ascii="仿宋_GB2312" w:hAnsi="仿宋_GB2312" w:cs="仿宋_GB2312" w:eastAsia="仿宋_GB2312"/>
        </w:rPr>
        <w:t>8、供应商资质：供应商须提供有效《食品经营许可证》（以响应文件中提供的加盖公章的证明资料复印件为准）；</w:t>
      </w:r>
    </w:p>
    <w:p>
      <w:pPr>
        <w:pStyle w:val="null3"/>
      </w:pPr>
      <w:r>
        <w:rPr>
          <w:rFonts w:ascii="仿宋_GB2312" w:hAnsi="仿宋_GB2312" w:cs="仿宋_GB2312" w:eastAsia="仿宋_GB2312"/>
        </w:rPr>
        <w:t>9、联合体磋商：本项目不接受联合体磋商（注：以响应文件中提供的非联合体磋商的声明为准）。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西安市碑林区人民法院[154]</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西安市碑林区太白北路6号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崔姜涛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029-84500828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陕西省西安市碑林区西安市和平路108号佳腾大厦7楼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马悦、翟燕荣、孙东、李秋鹏、王怡娜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029-87517633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采购包1：1,457,300.00元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人在领取成交通知书时应向采购代理机构一次性交纳招标代理服务费。招标代理服务费收取参照国家计委颁布的《招标代理服务收费管理暂行办法》（计价格[2002]1980号）和（发改办价格[2003]857号）按标准计取。 收款账户如下：收款单位：陕西省招标有限责任公司 开户银行：招商银行西安朝阳门支行 银行账号：129904242010801。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西安市碑林区人民法院[154]</w:t>
      </w:r>
      <w:r>
        <w:rPr>
          <w:rFonts w:ascii="仿宋_GB2312" w:hAnsi="仿宋_GB2312" w:cs="仿宋_GB2312" w:eastAsia="仿宋_GB2312"/>
        </w:rPr>
        <w:t>和</w:t>
      </w:r>
      <w:r>
        <w:rPr>
          <w:rFonts w:ascii="仿宋_GB2312" w:hAnsi="仿宋_GB2312" w:cs="仿宋_GB2312" w:eastAsia="仿宋_GB2312"/>
        </w:rPr>
        <w:t>陕西省招标有限责任公司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西安市碑林区人民法院[154]</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西安市碑林区人民法院[154]</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符合国家、省、市及行业标准要求，符合采购人要求。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联系人：胡蕊</w:t>
      </w:r>
    </w:p>
    <w:p>
      <w:pPr>
        <w:pStyle w:val="null3"/>
      </w:pPr>
      <w:r>
        <w:rPr>
          <w:rFonts w:ascii="仿宋_GB2312" w:hAnsi="仿宋_GB2312" w:cs="仿宋_GB2312" w:eastAsia="仿宋_GB2312"/>
        </w:rPr>
        <w:t>联系电话：029-87517633</w:t>
      </w:r>
    </w:p>
    <w:p>
      <w:pPr>
        <w:pStyle w:val="null3"/>
      </w:pPr>
      <w:r>
        <w:rPr>
          <w:rFonts w:ascii="仿宋_GB2312" w:hAnsi="仿宋_GB2312" w:cs="仿宋_GB2312" w:eastAsia="仿宋_GB2312"/>
        </w:rPr>
        <w:t>地址：西安市和平路108号佳腾大厦7楼</w:t>
      </w:r>
    </w:p>
    <w:p>
      <w:pPr>
        <w:pStyle w:val="null3"/>
      </w:pPr>
      <w:r>
        <w:rPr>
          <w:rFonts w:ascii="仿宋_GB2312" w:hAnsi="仿宋_GB2312" w:cs="仿宋_GB2312" w:eastAsia="仿宋_GB2312"/>
        </w:rPr>
        <w:t>邮编：710001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西安市碑林区人民法院[154]职工餐厅餐饮服务项目 ，法院日常就餐人员约220人。中标供应商负责以分餐制的形式供应早、午餐、桌饭形式的会议餐、公务接待餐及其他临时用餐。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1,457,300.00</w:t>
      </w:r>
    </w:p>
    <w:p>
      <w:pPr>
        <w:pStyle w:val="null3"/>
      </w:pPr>
      <w:r>
        <w:rPr>
          <w:rFonts w:ascii="仿宋_GB2312" w:hAnsi="仿宋_GB2312" w:cs="仿宋_GB2312" w:eastAsia="仿宋_GB2312"/>
        </w:rPr>
        <w:t>采购包最高限价（元）: 1,457,300.00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食堂包厨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1,457,300.00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标的名称：食堂包厨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一、项目概况</w:t>
            </w:r>
          </w:p>
          <w:p>
            <w:pPr>
              <w:pStyle w:val="null3"/>
              <w:ind w:firstLine="400"/>
              <w:jc w:val="both"/>
            </w:pPr>
            <w:r>
              <w:rPr>
                <w:rFonts w:ascii="仿宋_GB2312" w:hAnsi="仿宋_GB2312" w:cs="仿宋_GB2312" w:eastAsia="仿宋_GB2312"/>
                <w:sz w:val="20"/>
              </w:rPr>
              <w:t>西安市碑林区人民法院日常就餐人员约</w:t>
            </w:r>
            <w:r>
              <w:rPr>
                <w:rFonts w:ascii="仿宋_GB2312" w:hAnsi="仿宋_GB2312" w:cs="仿宋_GB2312" w:eastAsia="仿宋_GB2312"/>
                <w:sz w:val="20"/>
              </w:rPr>
              <w:t>220人。中标供应商负责以分餐制的形式供应早、午餐、桌饭形式的会议餐、公务接待餐及其他临时用餐。</w:t>
            </w:r>
          </w:p>
          <w:p>
            <w:pPr>
              <w:pStyle w:val="null3"/>
              <w:jc w:val="both"/>
            </w:pPr>
            <w:r>
              <w:rPr>
                <w:rFonts w:ascii="仿宋_GB2312" w:hAnsi="仿宋_GB2312" w:cs="仿宋_GB2312" w:eastAsia="仿宋_GB2312"/>
                <w:sz w:val="20"/>
              </w:rPr>
              <w:t>二、服务期限</w:t>
            </w:r>
          </w:p>
          <w:p>
            <w:pPr>
              <w:pStyle w:val="null3"/>
              <w:ind w:firstLine="400"/>
              <w:jc w:val="both"/>
            </w:pPr>
            <w:r>
              <w:rPr>
                <w:rFonts w:ascii="仿宋_GB2312" w:hAnsi="仿宋_GB2312" w:cs="仿宋_GB2312" w:eastAsia="仿宋_GB2312"/>
                <w:sz w:val="20"/>
              </w:rPr>
              <w:t>服务期限：</w:t>
            </w:r>
            <w:r>
              <w:rPr>
                <w:rFonts w:ascii="仿宋_GB2312" w:hAnsi="仿宋_GB2312" w:cs="仿宋_GB2312" w:eastAsia="仿宋_GB2312"/>
                <w:sz w:val="20"/>
              </w:rPr>
              <w:t>1年。</w:t>
            </w:r>
          </w:p>
          <w:p>
            <w:pPr>
              <w:pStyle w:val="null3"/>
              <w:jc w:val="both"/>
            </w:pPr>
            <w:r>
              <w:rPr>
                <w:rFonts w:ascii="仿宋_GB2312" w:hAnsi="仿宋_GB2312" w:cs="仿宋_GB2312" w:eastAsia="仿宋_GB2312"/>
                <w:sz w:val="20"/>
              </w:rPr>
              <w:t>三、服务内容</w:t>
            </w:r>
          </w:p>
          <w:p>
            <w:pPr>
              <w:pStyle w:val="null3"/>
              <w:ind w:firstLine="400"/>
              <w:jc w:val="both"/>
            </w:pPr>
            <w:r>
              <w:rPr>
                <w:rFonts w:ascii="仿宋_GB2312" w:hAnsi="仿宋_GB2312" w:cs="仿宋_GB2312" w:eastAsia="仿宋_GB2312"/>
                <w:sz w:val="20"/>
              </w:rPr>
              <w:t>1.负责食堂的经营管理，具体包括人员配备，食品的采购、制作，厨房、餐厅的环境卫生等管理事项。未经采购人同意，不得擅自转包或转让他人经营。</w:t>
            </w:r>
          </w:p>
          <w:p>
            <w:pPr>
              <w:pStyle w:val="null3"/>
              <w:ind w:firstLine="400"/>
              <w:jc w:val="both"/>
            </w:pPr>
            <w:r>
              <w:rPr>
                <w:rFonts w:ascii="仿宋_GB2312" w:hAnsi="仿宋_GB2312" w:cs="仿宋_GB2312" w:eastAsia="仿宋_GB2312"/>
                <w:sz w:val="20"/>
              </w:rPr>
              <w:t>2.严格执行《中华人民共和国食品安全法》，禁止供应未经卫生防疫部门检测通过的各类食品、食材和调味品。否则由此造成的一切法律责任自行承担。</w:t>
            </w:r>
          </w:p>
          <w:p>
            <w:pPr>
              <w:pStyle w:val="null3"/>
              <w:ind w:firstLine="400"/>
              <w:jc w:val="both"/>
            </w:pPr>
            <w:r>
              <w:rPr>
                <w:rFonts w:ascii="仿宋_GB2312" w:hAnsi="仿宋_GB2312" w:cs="仿宋_GB2312" w:eastAsia="仿宋_GB2312"/>
                <w:sz w:val="20"/>
              </w:rPr>
              <w:t>3.工作人员工作期间应统一着工装，并保持清洁卫生，厨房工作人员应采取相关的卫生措施，如戴口罩和卫生手套等，采购人负责监督。</w:t>
            </w:r>
          </w:p>
          <w:p>
            <w:pPr>
              <w:pStyle w:val="null3"/>
              <w:ind w:firstLine="400"/>
              <w:jc w:val="both"/>
            </w:pPr>
            <w:r>
              <w:rPr>
                <w:rFonts w:ascii="仿宋_GB2312" w:hAnsi="仿宋_GB2312" w:cs="仿宋_GB2312" w:eastAsia="仿宋_GB2312"/>
                <w:sz w:val="20"/>
              </w:rPr>
              <w:t>4.负责工作人员生产安全管理，如发生安全事故，由乙方自行协商解决，承担相应费用，并负责消除对采购人造成的不良影响。</w:t>
            </w:r>
          </w:p>
          <w:p>
            <w:pPr>
              <w:pStyle w:val="null3"/>
              <w:ind w:firstLine="400"/>
              <w:jc w:val="both"/>
            </w:pPr>
            <w:r>
              <w:rPr>
                <w:rFonts w:ascii="仿宋_GB2312" w:hAnsi="仿宋_GB2312" w:cs="仿宋_GB2312" w:eastAsia="仿宋_GB2312"/>
                <w:sz w:val="20"/>
              </w:rPr>
              <w:t>5.供应商在成交后，应在相关行业主管部门规定的期限内自行办理餐厅《食品经营许可证》。</w:t>
            </w:r>
          </w:p>
          <w:p>
            <w:pPr>
              <w:pStyle w:val="null3"/>
              <w:ind w:firstLine="400"/>
              <w:jc w:val="both"/>
            </w:pPr>
            <w:r>
              <w:rPr>
                <w:rFonts w:ascii="仿宋_GB2312" w:hAnsi="仿宋_GB2312" w:cs="仿宋_GB2312" w:eastAsia="仿宋_GB2312"/>
                <w:sz w:val="20"/>
              </w:rPr>
              <w:t>6.工作人员一律凭有效的健康证上岗。</w:t>
            </w:r>
          </w:p>
          <w:p>
            <w:pPr>
              <w:pStyle w:val="null3"/>
              <w:jc w:val="both"/>
            </w:pPr>
            <w:r>
              <w:rPr>
                <w:rFonts w:ascii="仿宋_GB2312" w:hAnsi="仿宋_GB2312" w:cs="仿宋_GB2312" w:eastAsia="仿宋_GB2312"/>
                <w:sz w:val="20"/>
              </w:rPr>
              <w:t>四、供餐标准</w:t>
            </w:r>
          </w:p>
          <w:p>
            <w:pPr>
              <w:pStyle w:val="null3"/>
              <w:ind w:firstLine="400"/>
              <w:jc w:val="both"/>
            </w:pPr>
            <w:r>
              <w:rPr>
                <w:rFonts w:ascii="仿宋_GB2312" w:hAnsi="仿宋_GB2312" w:cs="仿宋_GB2312" w:eastAsia="仿宋_GB2312"/>
                <w:sz w:val="20"/>
              </w:rPr>
              <w:t>1.负责以分餐制的形式供应早、午餐和桌饭形式的会议餐、公务接待餐及其他临时用餐。根据采购人的工作餐标准，安排工作餐食谱；每周变换菜谱，经采购人审议后执行；凉热菜的比例可根据季节变化进行调整。会议餐和公务加代餐制定相应菜谱，经采购人审核同意后执行。</w:t>
            </w:r>
          </w:p>
          <w:p>
            <w:pPr>
              <w:pStyle w:val="null3"/>
              <w:ind w:firstLine="400"/>
              <w:jc w:val="both"/>
            </w:pPr>
            <w:r>
              <w:rPr>
                <w:rFonts w:ascii="仿宋_GB2312" w:hAnsi="仿宋_GB2312" w:cs="仿宋_GB2312" w:eastAsia="仿宋_GB2312"/>
                <w:sz w:val="20"/>
              </w:rPr>
              <w:t>2.就餐时间：</w:t>
            </w:r>
          </w:p>
          <w:p>
            <w:pPr>
              <w:pStyle w:val="null3"/>
              <w:ind w:firstLine="400"/>
              <w:jc w:val="both"/>
            </w:pPr>
            <w:r>
              <w:rPr>
                <w:rFonts w:ascii="仿宋_GB2312" w:hAnsi="仿宋_GB2312" w:cs="仿宋_GB2312" w:eastAsia="仿宋_GB2312"/>
                <w:sz w:val="20"/>
              </w:rPr>
              <w:t>周一至周五</w:t>
            </w:r>
          </w:p>
          <w:p>
            <w:pPr>
              <w:pStyle w:val="null3"/>
              <w:ind w:firstLine="400"/>
              <w:jc w:val="both"/>
            </w:pPr>
            <w:r>
              <w:rPr>
                <w:rFonts w:ascii="仿宋_GB2312" w:hAnsi="仿宋_GB2312" w:cs="仿宋_GB2312" w:eastAsia="仿宋_GB2312"/>
                <w:sz w:val="20"/>
              </w:rPr>
              <w:t>早餐：</w:t>
            </w:r>
            <w:r>
              <w:rPr>
                <w:rFonts w:ascii="仿宋_GB2312" w:hAnsi="仿宋_GB2312" w:cs="仿宋_GB2312" w:eastAsia="仿宋_GB2312"/>
                <w:sz w:val="20"/>
              </w:rPr>
              <w:t>7：30-8：40</w:t>
            </w:r>
          </w:p>
          <w:p>
            <w:pPr>
              <w:pStyle w:val="null3"/>
              <w:ind w:firstLine="400"/>
              <w:jc w:val="both"/>
            </w:pPr>
            <w:r>
              <w:rPr>
                <w:rFonts w:ascii="仿宋_GB2312" w:hAnsi="仿宋_GB2312" w:cs="仿宋_GB2312" w:eastAsia="仿宋_GB2312"/>
                <w:sz w:val="20"/>
              </w:rPr>
              <w:t>午餐：</w:t>
            </w:r>
            <w:r>
              <w:rPr>
                <w:rFonts w:ascii="仿宋_GB2312" w:hAnsi="仿宋_GB2312" w:cs="仿宋_GB2312" w:eastAsia="仿宋_GB2312"/>
                <w:sz w:val="20"/>
              </w:rPr>
              <w:t>12：00-13：00</w:t>
            </w:r>
          </w:p>
          <w:p>
            <w:pPr>
              <w:pStyle w:val="null3"/>
              <w:ind w:firstLine="400"/>
              <w:jc w:val="both"/>
            </w:pPr>
            <w:r>
              <w:rPr>
                <w:rFonts w:ascii="仿宋_GB2312" w:hAnsi="仿宋_GB2312" w:cs="仿宋_GB2312" w:eastAsia="仿宋_GB2312"/>
                <w:sz w:val="20"/>
              </w:rPr>
              <w:t>3.餐费由预算及个人支付两部分组成，其中：</w:t>
            </w:r>
          </w:p>
          <w:p>
            <w:pPr>
              <w:pStyle w:val="null3"/>
              <w:ind w:firstLine="400"/>
              <w:jc w:val="both"/>
            </w:pPr>
            <w:r>
              <w:rPr>
                <w:rFonts w:ascii="仿宋_GB2312" w:hAnsi="仿宋_GB2312" w:cs="仿宋_GB2312" w:eastAsia="仿宋_GB2312"/>
                <w:sz w:val="20"/>
              </w:rPr>
              <w:t>早餐：预算餐费</w:t>
            </w:r>
            <w:r>
              <w:rPr>
                <w:rFonts w:ascii="仿宋_GB2312" w:hAnsi="仿宋_GB2312" w:cs="仿宋_GB2312" w:eastAsia="仿宋_GB2312"/>
                <w:sz w:val="20"/>
              </w:rPr>
              <w:t>6元，个人单独支付餐2元；</w:t>
            </w:r>
          </w:p>
          <w:p>
            <w:pPr>
              <w:pStyle w:val="null3"/>
              <w:ind w:firstLine="400"/>
              <w:jc w:val="both"/>
            </w:pPr>
            <w:r>
              <w:rPr>
                <w:rFonts w:ascii="仿宋_GB2312" w:hAnsi="仿宋_GB2312" w:cs="仿宋_GB2312" w:eastAsia="仿宋_GB2312"/>
                <w:sz w:val="20"/>
              </w:rPr>
              <w:t>午餐：预算餐费</w:t>
            </w:r>
            <w:r>
              <w:rPr>
                <w:rFonts w:ascii="仿宋_GB2312" w:hAnsi="仿宋_GB2312" w:cs="仿宋_GB2312" w:eastAsia="仿宋_GB2312"/>
                <w:sz w:val="20"/>
              </w:rPr>
              <w:t>10元，个人单独支付餐4元。</w:t>
            </w:r>
          </w:p>
          <w:p>
            <w:pPr>
              <w:pStyle w:val="null3"/>
              <w:ind w:firstLine="400"/>
              <w:jc w:val="both"/>
            </w:pPr>
            <w:r>
              <w:rPr>
                <w:rFonts w:ascii="仿宋_GB2312" w:hAnsi="仿宋_GB2312" w:cs="仿宋_GB2312" w:eastAsia="仿宋_GB2312"/>
                <w:sz w:val="20"/>
              </w:rPr>
              <w:t>预算餐费应包含在投标报价中。</w:t>
            </w:r>
          </w:p>
          <w:p>
            <w:pPr>
              <w:pStyle w:val="null3"/>
              <w:ind w:firstLine="400"/>
              <w:jc w:val="both"/>
            </w:pPr>
            <w:r>
              <w:rPr>
                <w:rFonts w:ascii="仿宋_GB2312" w:hAnsi="仿宋_GB2312" w:cs="仿宋_GB2312" w:eastAsia="仿宋_GB2312"/>
                <w:sz w:val="20"/>
              </w:rPr>
              <w:t>4.早餐种类：</w:t>
            </w:r>
          </w:p>
          <w:p>
            <w:pPr>
              <w:pStyle w:val="null3"/>
              <w:ind w:firstLine="400"/>
              <w:jc w:val="both"/>
            </w:pPr>
            <w:r>
              <w:rPr>
                <w:rFonts w:ascii="仿宋_GB2312" w:hAnsi="仿宋_GB2312" w:cs="仿宋_GB2312" w:eastAsia="仿宋_GB2312"/>
                <w:sz w:val="20"/>
              </w:rPr>
              <w:t>早餐配粥类、面点类、鸡蛋、奶制品及</w:t>
            </w:r>
            <w:r>
              <w:rPr>
                <w:rFonts w:ascii="仿宋_GB2312" w:hAnsi="仿宋_GB2312" w:cs="仿宋_GB2312" w:eastAsia="仿宋_GB2312"/>
                <w:sz w:val="20"/>
              </w:rPr>
              <w:t>4种以上小菜（凉热菜的比例可根据季节变化进行调整）。按照：“五谷搭配，粗细搭配，荤素搭配，多样搭配”的基本原则，尽可能使营养餐达到营养合理，平衡膳食的要求。</w:t>
            </w:r>
          </w:p>
          <w:p>
            <w:pPr>
              <w:pStyle w:val="null3"/>
              <w:ind w:firstLine="400"/>
              <w:jc w:val="both"/>
            </w:pPr>
            <w:r>
              <w:rPr>
                <w:rFonts w:ascii="仿宋_GB2312" w:hAnsi="仿宋_GB2312" w:cs="仿宋_GB2312" w:eastAsia="仿宋_GB2312"/>
                <w:sz w:val="20"/>
              </w:rPr>
              <w:t>5.午餐种类：</w:t>
            </w:r>
          </w:p>
          <w:p>
            <w:pPr>
              <w:pStyle w:val="null3"/>
              <w:ind w:firstLine="400"/>
              <w:jc w:val="both"/>
            </w:pPr>
            <w:r>
              <w:rPr>
                <w:rFonts w:ascii="仿宋_GB2312" w:hAnsi="仿宋_GB2312" w:cs="仿宋_GB2312" w:eastAsia="仿宋_GB2312"/>
                <w:sz w:val="20"/>
              </w:rPr>
              <w:t>午餐食品应包含蔬菜类、大豆及豆制品类、鱼肉禽蛋类（比重为</w:t>
            </w:r>
            <w:r>
              <w:rPr>
                <w:rFonts w:ascii="仿宋_GB2312" w:hAnsi="仿宋_GB2312" w:cs="仿宋_GB2312" w:eastAsia="仿宋_GB2312"/>
                <w:sz w:val="20"/>
              </w:rPr>
              <w:t>65%、10%、25%左右），以2荤2素配面食或米饭为宜，要重视菜谱色、香、味、形、质的合理搭配。</w:t>
            </w:r>
          </w:p>
          <w:p>
            <w:pPr>
              <w:pStyle w:val="null3"/>
              <w:ind w:firstLine="400"/>
              <w:jc w:val="both"/>
            </w:pPr>
            <w:r>
              <w:rPr>
                <w:rFonts w:ascii="仿宋_GB2312" w:hAnsi="仿宋_GB2312" w:cs="仿宋_GB2312" w:eastAsia="仿宋_GB2312"/>
                <w:sz w:val="20"/>
              </w:rPr>
              <w:t>6.接待餐：</w:t>
            </w:r>
          </w:p>
          <w:p>
            <w:pPr>
              <w:pStyle w:val="null3"/>
              <w:ind w:firstLine="400"/>
              <w:jc w:val="both"/>
            </w:pPr>
            <w:r>
              <w:rPr>
                <w:rFonts w:ascii="仿宋_GB2312" w:hAnsi="仿宋_GB2312" w:cs="仿宋_GB2312" w:eastAsia="仿宋_GB2312"/>
                <w:sz w:val="20"/>
              </w:rPr>
              <w:t>按采购人实际通知时间为准。</w:t>
            </w:r>
          </w:p>
          <w:p>
            <w:pPr>
              <w:pStyle w:val="null3"/>
              <w:ind w:firstLine="400"/>
              <w:jc w:val="both"/>
            </w:pPr>
            <w:r>
              <w:rPr>
                <w:rFonts w:ascii="仿宋_GB2312" w:hAnsi="仿宋_GB2312" w:cs="仿宋_GB2312" w:eastAsia="仿宋_GB2312"/>
                <w:sz w:val="20"/>
              </w:rPr>
              <w:t>7.原材料供应</w:t>
            </w:r>
          </w:p>
          <w:p>
            <w:pPr>
              <w:pStyle w:val="null3"/>
              <w:ind w:firstLine="400"/>
              <w:jc w:val="both"/>
            </w:pPr>
            <w:r>
              <w:rPr>
                <w:rFonts w:ascii="仿宋_GB2312" w:hAnsi="仿宋_GB2312" w:cs="仿宋_GB2312" w:eastAsia="仿宋_GB2312"/>
                <w:sz w:val="20"/>
              </w:rPr>
              <w:t>大宗食料（米、面、油）不低于一级或由双方共同选定品牌，其他原材料由经营单位索证并保存，以备采购人及相关单位检查。</w:t>
            </w:r>
          </w:p>
          <w:p>
            <w:pPr>
              <w:pStyle w:val="null3"/>
              <w:ind w:firstLine="400"/>
              <w:jc w:val="both"/>
            </w:pPr>
            <w:r>
              <w:rPr>
                <w:rFonts w:ascii="仿宋_GB2312" w:hAnsi="仿宋_GB2312" w:cs="仿宋_GB2312" w:eastAsia="仿宋_GB2312"/>
                <w:sz w:val="20"/>
              </w:rPr>
              <w:t>8、其它要求：</w:t>
            </w:r>
          </w:p>
          <w:p>
            <w:pPr>
              <w:pStyle w:val="null3"/>
              <w:ind w:firstLine="400"/>
              <w:jc w:val="both"/>
            </w:pPr>
            <w:r>
              <w:rPr>
                <w:rFonts w:ascii="仿宋_GB2312" w:hAnsi="仿宋_GB2312" w:cs="仿宋_GB2312" w:eastAsia="仿宋_GB2312"/>
                <w:sz w:val="20"/>
              </w:rPr>
              <w:t>8.1按照市场监管总局修订并于2018年10月1日起施行的《餐饮服务食品安全操作规范》中“食品留样”相关要求，每餐做好食品留样保存。</w:t>
            </w:r>
          </w:p>
          <w:p>
            <w:pPr>
              <w:pStyle w:val="null3"/>
              <w:ind w:firstLine="400"/>
              <w:jc w:val="both"/>
            </w:pPr>
            <w:r>
              <w:rPr>
                <w:rFonts w:ascii="仿宋_GB2312" w:hAnsi="仿宋_GB2312" w:cs="仿宋_GB2312" w:eastAsia="仿宋_GB2312"/>
                <w:sz w:val="20"/>
              </w:rPr>
              <w:t>8.2根据菜肴的特点和成菜要求，合理配菜、搭配营养，符合色、形、质、养、器的配菜原则，准确调味并选用正确的烹调方法合理烹调，使之成熟度达到规定的质量要求。不使用隔夜菜肴和半成品材料。</w:t>
            </w:r>
          </w:p>
          <w:p>
            <w:pPr>
              <w:pStyle w:val="null3"/>
              <w:ind w:firstLine="400"/>
              <w:jc w:val="both"/>
            </w:pPr>
            <w:r>
              <w:rPr>
                <w:rFonts w:ascii="仿宋_GB2312" w:hAnsi="仿宋_GB2312" w:cs="仿宋_GB2312" w:eastAsia="仿宋_GB2312"/>
                <w:sz w:val="20"/>
              </w:rPr>
              <w:t>8.3菜肴的荤素搭配合理，每周菜品重复率不高于10%。</w:t>
            </w:r>
          </w:p>
          <w:p>
            <w:pPr>
              <w:pStyle w:val="null3"/>
              <w:ind w:firstLine="400"/>
              <w:jc w:val="both"/>
            </w:pPr>
            <w:r>
              <w:rPr>
                <w:rFonts w:ascii="仿宋_GB2312" w:hAnsi="仿宋_GB2312" w:cs="仿宋_GB2312" w:eastAsia="仿宋_GB2312"/>
                <w:sz w:val="20"/>
              </w:rPr>
              <w:t>8.4丰富菜肴品种；根据季节变化及时调整菜肴品种更换菜肴的口味；高温季节食堂需制作防暑降温的绿豆汤。</w:t>
            </w:r>
          </w:p>
          <w:p>
            <w:pPr>
              <w:pStyle w:val="null3"/>
              <w:ind w:firstLine="400"/>
              <w:jc w:val="both"/>
            </w:pPr>
            <w:r>
              <w:rPr>
                <w:rFonts w:ascii="仿宋_GB2312" w:hAnsi="仿宋_GB2312" w:cs="仿宋_GB2312" w:eastAsia="仿宋_GB2312"/>
                <w:sz w:val="20"/>
              </w:rPr>
              <w:t>8.5应具备按时、按需、按质的反应能力，在特殊情况下保证及时供应一定数量的加餐服务。</w:t>
            </w:r>
          </w:p>
          <w:p>
            <w:pPr>
              <w:pStyle w:val="null3"/>
              <w:jc w:val="both"/>
            </w:pPr>
            <w:r>
              <w:rPr>
                <w:rFonts w:ascii="仿宋_GB2312" w:hAnsi="仿宋_GB2312" w:cs="仿宋_GB2312" w:eastAsia="仿宋_GB2312"/>
                <w:sz w:val="20"/>
              </w:rPr>
              <w:t>五、岗位人员要求</w:t>
            </w:r>
          </w:p>
          <w:p>
            <w:pPr>
              <w:pStyle w:val="null3"/>
              <w:ind w:firstLine="400"/>
              <w:jc w:val="both"/>
            </w:pPr>
            <w:r>
              <w:rPr>
                <w:rFonts w:ascii="仿宋_GB2312" w:hAnsi="仿宋_GB2312" w:cs="仿宋_GB2312" w:eastAsia="仿宋_GB2312"/>
                <w:sz w:val="20"/>
              </w:rPr>
              <w:t>1.从业人员必须持有有效身份证、健康证及相关证件，年龄范围在18周岁至60周岁之间。</w:t>
            </w:r>
          </w:p>
          <w:p>
            <w:pPr>
              <w:pStyle w:val="null3"/>
              <w:ind w:firstLine="400"/>
              <w:jc w:val="both"/>
            </w:pPr>
            <w:r>
              <w:rPr>
                <w:rFonts w:ascii="仿宋_GB2312" w:hAnsi="仿宋_GB2312" w:cs="仿宋_GB2312" w:eastAsia="仿宋_GB2312"/>
                <w:sz w:val="20"/>
              </w:rPr>
              <w:t>2.职责范围</w:t>
            </w:r>
          </w:p>
          <w:p>
            <w:pPr>
              <w:pStyle w:val="null3"/>
              <w:ind w:firstLine="400"/>
              <w:jc w:val="both"/>
            </w:pPr>
            <w:r>
              <w:rPr>
                <w:rFonts w:ascii="仿宋_GB2312" w:hAnsi="仿宋_GB2312" w:cs="仿宋_GB2312" w:eastAsia="仿宋_GB2312"/>
                <w:sz w:val="20"/>
              </w:rPr>
              <w:t>2.1建立安全生产制度，如何与采购人沟通及处理相关部门之间的关系，建立重大事件报告制，组织职工对食堂满意度测评及反馈。</w:t>
            </w:r>
          </w:p>
          <w:p>
            <w:pPr>
              <w:pStyle w:val="null3"/>
              <w:ind w:firstLine="400"/>
              <w:jc w:val="both"/>
            </w:pPr>
            <w:r>
              <w:rPr>
                <w:rFonts w:ascii="仿宋_GB2312" w:hAnsi="仿宋_GB2312" w:cs="仿宋_GB2312" w:eastAsia="仿宋_GB2312"/>
                <w:sz w:val="20"/>
              </w:rPr>
              <w:t>2.2食堂负责人必须常驻现场负责现场管理。</w:t>
            </w:r>
          </w:p>
          <w:p>
            <w:pPr>
              <w:pStyle w:val="null3"/>
              <w:ind w:firstLine="400"/>
              <w:jc w:val="both"/>
            </w:pPr>
            <w:r>
              <w:rPr>
                <w:rFonts w:ascii="仿宋_GB2312" w:hAnsi="仿宋_GB2312" w:cs="仿宋_GB2312" w:eastAsia="仿宋_GB2312"/>
                <w:sz w:val="20"/>
              </w:rPr>
              <w:t>2.3按照《劳动法》的规定聘请和管理员工，承担员工的工资、保险、服装、福利等报酬。</w:t>
            </w:r>
          </w:p>
          <w:p>
            <w:pPr>
              <w:pStyle w:val="null3"/>
              <w:ind w:firstLine="400"/>
              <w:jc w:val="both"/>
            </w:pPr>
            <w:r>
              <w:rPr>
                <w:rFonts w:ascii="仿宋_GB2312" w:hAnsi="仿宋_GB2312" w:cs="仿宋_GB2312" w:eastAsia="仿宋_GB2312"/>
                <w:sz w:val="20"/>
              </w:rPr>
              <w:t>2.4应该接受相关部门的监督、指导、检查和考核。</w:t>
            </w:r>
          </w:p>
          <w:p>
            <w:pPr>
              <w:pStyle w:val="null3"/>
              <w:ind w:firstLine="400"/>
              <w:jc w:val="both"/>
            </w:pPr>
            <w:r>
              <w:rPr>
                <w:rFonts w:ascii="仿宋_GB2312" w:hAnsi="仿宋_GB2312" w:cs="仿宋_GB2312" w:eastAsia="仿宋_GB2312"/>
                <w:sz w:val="20"/>
              </w:rPr>
              <w:t>2.5负责供应职工餐，食堂日常管理，设备维护，食品卫生等。</w:t>
            </w:r>
          </w:p>
          <w:p>
            <w:pPr>
              <w:pStyle w:val="null3"/>
              <w:ind w:firstLine="400"/>
              <w:jc w:val="both"/>
            </w:pPr>
            <w:r>
              <w:rPr>
                <w:rFonts w:ascii="仿宋_GB2312" w:hAnsi="仿宋_GB2312" w:cs="仿宋_GB2312" w:eastAsia="仿宋_GB2312"/>
                <w:sz w:val="20"/>
              </w:rPr>
              <w:t>3.配置人员</w:t>
            </w:r>
          </w:p>
          <w:p>
            <w:pPr>
              <w:pStyle w:val="null3"/>
              <w:ind w:firstLine="400"/>
              <w:jc w:val="both"/>
            </w:pPr>
            <w:r>
              <w:rPr>
                <w:rFonts w:ascii="仿宋_GB2312" w:hAnsi="仿宋_GB2312" w:cs="仿宋_GB2312" w:eastAsia="仿宋_GB2312"/>
                <w:sz w:val="20"/>
              </w:rPr>
              <w:t>3.1中标供应商应承担所有配置人员的工资、保险、服装、福利等报酬及住宿等费用（注：不少于一年）。</w:t>
            </w:r>
          </w:p>
          <w:p>
            <w:pPr>
              <w:pStyle w:val="null3"/>
              <w:ind w:firstLine="400"/>
              <w:jc w:val="both"/>
            </w:pPr>
            <w:r>
              <w:rPr>
                <w:rFonts w:ascii="仿宋_GB2312" w:hAnsi="仿宋_GB2312" w:cs="仿宋_GB2312" w:eastAsia="仿宋_GB2312"/>
                <w:sz w:val="20"/>
              </w:rPr>
              <w:t>3.2配置人员至少包括：总厨1名、凉菜厨师1名、炒菜厨师1名、面点厨师2名、砧板厨师1名、前厅服务人员1名、餐厅服务人员2名、洗碗人员2名。供应商可根据自身服务方案，增加相应人员。</w:t>
            </w:r>
          </w:p>
          <w:p>
            <w:pPr>
              <w:pStyle w:val="null3"/>
              <w:jc w:val="both"/>
            </w:pPr>
            <w:r>
              <w:rPr>
                <w:rFonts w:ascii="仿宋_GB2312" w:hAnsi="仿宋_GB2312" w:cs="仿宋_GB2312" w:eastAsia="仿宋_GB2312"/>
                <w:sz w:val="20"/>
              </w:rPr>
              <w:t>六、管理要求</w:t>
            </w:r>
          </w:p>
          <w:p>
            <w:pPr>
              <w:pStyle w:val="null3"/>
              <w:ind w:firstLine="400"/>
              <w:jc w:val="both"/>
            </w:pPr>
            <w:r>
              <w:rPr>
                <w:rFonts w:ascii="仿宋_GB2312" w:hAnsi="仿宋_GB2312" w:cs="仿宋_GB2312" w:eastAsia="仿宋_GB2312"/>
                <w:sz w:val="20"/>
              </w:rPr>
              <w:t>1.食品卫生及安全必须严格执行《中华人民共和国食品安全法》，《餐饮业和集体用餐配送单位卫生规范》，《中华人民共和国消防法》，《中华人民共和国安全生产法》等各项国家及地方的法规。</w:t>
            </w:r>
          </w:p>
          <w:p>
            <w:pPr>
              <w:pStyle w:val="null3"/>
              <w:ind w:firstLine="400"/>
              <w:jc w:val="both"/>
            </w:pPr>
            <w:r>
              <w:rPr>
                <w:rFonts w:ascii="仿宋_GB2312" w:hAnsi="仿宋_GB2312" w:cs="仿宋_GB2312" w:eastAsia="仿宋_GB2312"/>
                <w:sz w:val="20"/>
              </w:rPr>
              <w:t>2.环境卫生必须保证经营场所（包括操作区和就餐区）环境整洁，并接受采购人及本地区卫生监督部门检查考核，如发生食物中毒事件必须及时整顿整改并接受处罚。</w:t>
            </w:r>
          </w:p>
          <w:p>
            <w:pPr>
              <w:pStyle w:val="null3"/>
              <w:jc w:val="both"/>
            </w:pPr>
            <w:r>
              <w:rPr>
                <w:rFonts w:ascii="仿宋_GB2312" w:hAnsi="仿宋_GB2312" w:cs="仿宋_GB2312" w:eastAsia="仿宋_GB2312"/>
                <w:sz w:val="20"/>
              </w:rPr>
              <w:t>七、服务要求</w:t>
            </w:r>
          </w:p>
          <w:p>
            <w:pPr>
              <w:pStyle w:val="null3"/>
              <w:ind w:firstLine="400"/>
              <w:jc w:val="both"/>
            </w:pPr>
            <w:r>
              <w:rPr>
                <w:rFonts w:ascii="仿宋_GB2312" w:hAnsi="仿宋_GB2312" w:cs="仿宋_GB2312" w:eastAsia="仿宋_GB2312"/>
                <w:sz w:val="20"/>
              </w:rPr>
              <w:t>1.中标供应商对采购人的餐食供应及就餐秩序按照采购人要求实施全过程服务，采购人仅提供必要协助。</w:t>
            </w:r>
          </w:p>
          <w:p>
            <w:pPr>
              <w:pStyle w:val="null3"/>
              <w:ind w:firstLine="400"/>
              <w:jc w:val="both"/>
            </w:pPr>
            <w:r>
              <w:rPr>
                <w:rFonts w:ascii="仿宋_GB2312" w:hAnsi="仿宋_GB2312" w:cs="仿宋_GB2312" w:eastAsia="仿宋_GB2312"/>
                <w:sz w:val="20"/>
              </w:rPr>
              <w:t>2.中标供应商应严格遵守《中华人民共和国食品安全法》等国家及所在采购人单位的相关管理规定。服务期间未经采购人书面许可，中标供应商不得随意停止营业或不正常营业，由此造成的损失由中标供应商全部承担。中标供应商应树立热情服务的观念，切实做到膳食营养合理搭配、干净卫生、优质服务，足量供应，保证就餐人员吃饱吃好，对所提供的食品安全负全责。</w:t>
            </w:r>
          </w:p>
          <w:p>
            <w:pPr>
              <w:pStyle w:val="null3"/>
              <w:ind w:firstLine="400"/>
              <w:jc w:val="both"/>
            </w:pPr>
            <w:r>
              <w:rPr>
                <w:rFonts w:ascii="仿宋_GB2312" w:hAnsi="仿宋_GB2312" w:cs="仿宋_GB2312" w:eastAsia="仿宋_GB2312"/>
                <w:sz w:val="20"/>
              </w:rPr>
              <w:t>3.中标供应商在服务期间应合法经营，不得违反采购人的规章制度，不得从事有损于采购人利益和声誉的活动。从业人员持有效健康证和相关职业资格证上岗。</w:t>
            </w:r>
          </w:p>
          <w:p>
            <w:pPr>
              <w:pStyle w:val="null3"/>
              <w:ind w:firstLine="400"/>
              <w:jc w:val="both"/>
            </w:pPr>
            <w:r>
              <w:rPr>
                <w:rFonts w:ascii="仿宋_GB2312" w:hAnsi="仿宋_GB2312" w:cs="仿宋_GB2312" w:eastAsia="仿宋_GB2312"/>
                <w:sz w:val="20"/>
              </w:rPr>
              <w:t>4.中标供应商根据采购人就餐人员每天的营养摄入量，提前一周设定出食谱。</w:t>
            </w:r>
          </w:p>
          <w:p>
            <w:pPr>
              <w:pStyle w:val="null3"/>
              <w:ind w:firstLine="400"/>
              <w:jc w:val="both"/>
            </w:pPr>
            <w:r>
              <w:rPr>
                <w:rFonts w:ascii="仿宋_GB2312" w:hAnsi="仿宋_GB2312" w:cs="仿宋_GB2312" w:eastAsia="仿宋_GB2312"/>
                <w:sz w:val="20"/>
              </w:rPr>
              <w:t>5.采购人如遇有重大外出活动，需中标供应商保障在外就餐，提前告知中标供应商就餐人数及就餐标准，每人提供足分量饭1份。</w:t>
            </w:r>
          </w:p>
          <w:p>
            <w:pPr>
              <w:pStyle w:val="null3"/>
            </w:pPr>
            <w:r>
              <w:rPr>
                <w:rFonts w:ascii="仿宋_GB2312" w:hAnsi="仿宋_GB2312" w:cs="仿宋_GB2312" w:eastAsia="仿宋_GB2312"/>
                <w:sz w:val="20"/>
              </w:rPr>
              <w:t>6、中标供应商根据本合同的规定向采购人收取相关服务费用，并有权在本项目范围内管理及合理使用。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按采购人要求提供</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按采购人要求提供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西安市碑林区人民法院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符合国家、省、市及行业标准要求，符合采购人要求。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进度款，按季度付款（服务期满三个月为一个季度），达到付款条件起15个工作日内，支付合同总金额的25.0%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进度款，按季度付款（（服务期满三个月为一个季度），达到付款条件起15个工作日内，支付合同总金额的25.0%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进度款，按季度付款（服务期满三个月为一个季度），达到付款条件起15个工作日内，支付合同总金额的25.0%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进度款，按季度付款（服务期满三个月为一个季度），达到付款条件起15个工作日内，支付合同总金额的25.0%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（1）按《中华人民共和国民法典》以及双方采购合同中的相关条款执行 。（2）乙方未按合同要求提供产品或质量不能满足国家标准和采购人要求的，甲方有权终止合同，甚至对乙方违约行为进行追究。（3）如有纠纷，双方友好协商解决，协商不成时可诉讼到甲方所在地人民法院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落实政府采购政策：（1）《关于在政府采购活动中查询及使用信用记录有关问题的通知》（财库〔2016〕125号）。（2）《政府采购促进中小企业发展管理办法》（财库〔2020〕46号）、《关于进一步加大政府采购支持中小企业力度的通知》（财库〔2022〕19号）、《陕西省财政厅关于进一步加大政府采购支持中小企业力度的通知》（陕财办采〔2022〕5号）、《关于政府采购支持监狱企业发展有关问题的通知》（财库〔2014〕68号）以及《关于促进残疾人就业政府采购政策的通知》（财库〔2017〕141号）。（3）财政部、国家发展改革委《关于印发〈节能产品政府采购实施意见〉的通知》（财库〔2004〕185号）、财政部、国家环保总局联合印发《关于环境标志产品政府采购实施的意见》（财库〔2006〕90号）、国务院办公厅《关于建立政府强制采购节能产品制度的通知》（国办发〔2007〕51号）。财政部、国家发改委、生态环境部、市场监管总局联合印发《关于调整优化节能产品、环境标志产品政府采购执行机制的通知》（财库〔2019〕9号）。（4）《财政部 农业农村部 国家乡村振兴局关于运用政府采购政策支持乡村产业振兴的通知》（财库〔2021〕19号）、《财政部农业农村部国家乡村振兴局 中华全国供销合作总社关于印发&lt;关于深入开展政府采购脱贫地区农副产品工作推进乡村产业振兴的实施意见&gt;的通知》（财库〔2021〕20号）。（5）《陕西省财政厅关于加快推进我省中小企业政府采购信用融资工作的通知》（陕财办采〔2020〕15号）、陕西省财政厅关于印发《陕西省中小企业政府采购信用融资办法》（陕财办采〔2018〕23号）。（6）其他需要落实的政府采购政策（如有最新颁布的政府采购政策，按最新的文件执行）。 2、成交供应商领取成交通知书时，提交纸质磋商响应文件叁份、电子版叁份（U盘壹份注明单位名称）编辑目录和页码，内容和通过电子化交易平台实施的政府采购项目提交的磋商响应文件一致。纸质磋商响应文件需胶装（磋商响应文件建议采用双面打印）。 3、本项目属于专门面向中小企业采购。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供应商应提交的相关资格证明材料.docx 响应供应商基本情况表.docx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营业执照或其他主体证明资料</w:t>
            </w:r>
          </w:p>
        </w:tc>
        <w:tc>
          <w:tcPr>
            <w:tcW w:type="dxa" w:w="3322"/>
          </w:tcPr>
          <w:p>
            <w:pPr>
              <w:pStyle w:val="null3"/>
            </w:pPr>
            <w:r>
              <w:rPr>
                <w:rFonts w:ascii="仿宋_GB2312" w:hAnsi="仿宋_GB2312" w:cs="仿宋_GB2312" w:eastAsia="仿宋_GB2312"/>
              </w:rPr>
              <w:t>供应商应为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法定代表人参加投标的，须提供本人身份证加盖公章的复印件；法定代表人授权他人参加投标的，须提供法定代表人授权委托书及被授权代表的身份证复印件。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须提供会计师事务所出具的2025年度审计报告或提交响应文件截止时间前6个月内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税款所属时间为响应文件截止时间前6个月内，至少一个月纳税证明或完税证明（包含增值税或企业所得税至少一种），纳税证明或完税证明上应有代收机构或税务机关的公章或业务专用章；依法免税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缴费月份为响应文件截止时间前6个月内，至少一个月已缴纳的社会保障资金的证明（社会保障资金缴存单据或社保机构开具的社会保险参保缴费情况证明等）；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供应商提供具有履行本合同所必需的设备和专业技术能力的承诺函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供应商需在项目电子化交易系统中按要求上传相应证明文件并进行电子签章（不强制要求供应商提供查询截图，以开标当日，现场网上查询结果为评审依据）；</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供应商须提供有效《食品经营许可证》（以响应文件中提供的加盖公章的证明资料复印件为准）；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本项目不接受联合体磋商（注：以响应文件中提供的非联合体磋商的声明为准）。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明，且身份信息与营业执照上对应信息一致。法定代表人授权代表参加磋商的，须出具法定代表人授权委托书及授权代表身份证复印件；自然人参加磋商的须提供身份证复印件； 注：以磋商响应文件中所附签章齐全的法定代表人身份证明或法定代表人授权委托书为准。</w:t>
            </w:r>
          </w:p>
        </w:tc>
        <w:tc>
          <w:tcPr>
            <w:tcW w:type="dxa" w:w="1661"/>
          </w:tcPr>
          <w:p>
            <w:pPr>
              <w:pStyle w:val="null3"/>
            </w:pPr>
            <w:r>
              <w:rPr>
                <w:rFonts w:ascii="仿宋_GB2312" w:hAnsi="仿宋_GB2312" w:cs="仿宋_GB2312" w:eastAsia="仿宋_GB2312"/>
              </w:rPr>
              <w:t>响应文件封面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供应商应提交的相关资格证明材料.docx 响应函 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磋商响应文件签章</w:t>
            </w:r>
          </w:p>
        </w:tc>
        <w:tc>
          <w:tcPr>
            <w:tcW w:type="dxa" w:w="3322"/>
          </w:tcPr>
          <w:p>
            <w:pPr>
              <w:pStyle w:val="null3"/>
            </w:pPr>
            <w:r>
              <w:rPr>
                <w:rFonts w:ascii="仿宋_GB2312" w:hAnsi="仿宋_GB2312" w:cs="仿宋_GB2312" w:eastAsia="仿宋_GB2312"/>
              </w:rPr>
              <w:t>按磋商文件要求签署、加盖印章</w:t>
            </w:r>
          </w:p>
        </w:tc>
        <w:tc>
          <w:tcPr>
            <w:tcW w:type="dxa" w:w="1661"/>
          </w:tcPr>
          <w:p>
            <w:pPr>
              <w:pStyle w:val="null3"/>
            </w:pPr>
            <w:r>
              <w:rPr>
                <w:rFonts w:ascii="仿宋_GB2312" w:hAnsi="仿宋_GB2312" w:cs="仿宋_GB2312" w:eastAsia="仿宋_GB2312"/>
              </w:rPr>
              <w:t>中小企业声明函 商务应答表 服务内容及服务要求应答表 报价表 响应文件封面 分项报价表.docx 供应商应提交的相关资格证明材料.docx 残疾人福利性单位声明函 标的清单 响应供应商基本情况表.docx 响应函 陕西省政府采购供应商拒绝政府采购领域商业贿赂承诺书.docx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每次报价唯一</w:t>
            </w:r>
          </w:p>
        </w:tc>
        <w:tc>
          <w:tcPr>
            <w:tcW w:type="dxa" w:w="1661"/>
          </w:tcPr>
          <w:p>
            <w:pPr>
              <w:pStyle w:val="null3"/>
            </w:pPr>
            <w:r>
              <w:rPr>
                <w:rFonts w:ascii="仿宋_GB2312" w:hAnsi="仿宋_GB2312" w:cs="仿宋_GB2312" w:eastAsia="仿宋_GB2312"/>
              </w:rPr>
              <w:t>响应文件封面 分项报价表.docx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完全理解并接受磋商文件“第三章 磋商项目技术、服务、商务及其他要求”的所有内容且没有负偏离。</w:t>
            </w:r>
          </w:p>
        </w:tc>
        <w:tc>
          <w:tcPr>
            <w:tcW w:type="dxa" w:w="1661"/>
          </w:tcPr>
          <w:p>
            <w:pPr>
              <w:pStyle w:val="null3"/>
            </w:pPr>
            <w:r>
              <w:rPr>
                <w:rFonts w:ascii="仿宋_GB2312" w:hAnsi="仿宋_GB2312" w:cs="仿宋_GB2312" w:eastAsia="仿宋_GB2312"/>
              </w:rPr>
              <w:t>响应文件封面 分项报价表.docx 商务应答表 服务内容及服务要求应答表 标的清单 响应函 服务方案.docx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完全理解并接受磋商文件《合同文本》条款的要求，且未有采购人不能接受的附加条件的（以供应商提供的承诺函为准）。</w:t>
            </w:r>
          </w:p>
        </w:tc>
        <w:tc>
          <w:tcPr>
            <w:tcW w:type="dxa" w:w="1661"/>
          </w:tcPr>
          <w:p>
            <w:pPr>
              <w:pStyle w:val="null3"/>
            </w:pPr>
            <w:r>
              <w:rPr>
                <w:rFonts w:ascii="仿宋_GB2312" w:hAnsi="仿宋_GB2312" w:cs="仿宋_GB2312" w:eastAsia="仿宋_GB2312"/>
              </w:rPr>
              <w:t>响应文件封面 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服务措施及流程</w:t>
            </w:r>
          </w:p>
        </w:tc>
        <w:tc>
          <w:tcPr>
            <w:tcW w:type="dxa" w:w="2492"/>
          </w:tcPr>
          <w:p>
            <w:pPr>
              <w:pStyle w:val="null3"/>
            </w:pPr>
            <w:r>
              <w:rPr>
                <w:rFonts w:ascii="仿宋_GB2312" w:hAnsi="仿宋_GB2312" w:cs="仿宋_GB2312" w:eastAsia="仿宋_GB2312"/>
              </w:rPr>
              <w:t>一、评审内容 根据供应商针对本项目的管理服务措施，具有规范的管理服务流程，（包含但不限于：①管理架构；②工作流程；③自检制度；④消毒管理方案；⑤卫生管理），按其响应程度进行综合赋分。 二、评审标准 ①完整性：方案须全面，对评审内容中的各项要求有详细描述及说明； ②可实施性：切合本项目实际情况，实施步骤清晰、合理； ③针对性：方案能够紧扣项目实际情况，内容科学合理。 三、赋分标准（满分15分） ①管理架构：每满足一项评审标准得1分，存在瑕疵得0.5分，满分3分； ②工作流程：每满足一项评审标准得1分，存在瑕疵得0.5分，满分3分； ③自检制度：每满足一项评审标准得1分，存在瑕疵得0.5分，满分3分。 ④消毒管理方案：：每满足一项评审标准得1分，存在瑕疵得0.5分，满分3分； ⑤卫生管理：每满足一项评审标准得1分，存在瑕疵得0.5分，满分3分。 瑕疵是指存在不完全满足评分标准，但项目仍可实施。</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食品安全管控方案</w:t>
            </w:r>
          </w:p>
        </w:tc>
        <w:tc>
          <w:tcPr>
            <w:tcW w:type="dxa" w:w="2492"/>
          </w:tcPr>
          <w:p>
            <w:pPr>
              <w:pStyle w:val="null3"/>
            </w:pPr>
            <w:r>
              <w:rPr>
                <w:rFonts w:ascii="仿宋_GB2312" w:hAnsi="仿宋_GB2312" w:cs="仿宋_GB2312" w:eastAsia="仿宋_GB2312"/>
              </w:rPr>
              <w:t>一、评审内容 提出针对本项目的卫生与安全管理制度，内容包括： ①食品质量控制；②食品安全与卫生；③食材贮存计划，按其响应程度进行综合赋分。 二、评审标准 ①完整性：方案须全面，对评审内容中的各项要求有详细描述及说明； ②可实施性：切合本项目实际情况，实施步骤清晰、合理； ③针对性：方案能够紧扣项目实际情况，内容科学合理。 三、赋分标准（满分9分） ①食品质量控制：每满足一项评审标准得1.0分，存在瑕疵得0.5分，满分3.0分； ②食品安全与卫生：每满足一项评审标准得1.0分，存在瑕疵得0.5分，满分3.0分； ③食材贮存计划：每满足一项评审标准得1.0分，存在瑕疵得0.5分，满分3.0分。 瑕疵是指存在不完全满足评分标准，但项目仍可实施。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配餐方案</w:t>
            </w:r>
          </w:p>
        </w:tc>
        <w:tc>
          <w:tcPr>
            <w:tcW w:type="dxa" w:w="2492"/>
          </w:tcPr>
          <w:p>
            <w:pPr>
              <w:pStyle w:val="null3"/>
            </w:pPr>
            <w:r>
              <w:rPr>
                <w:rFonts w:ascii="仿宋_GB2312" w:hAnsi="仿宋_GB2312" w:cs="仿宋_GB2312" w:eastAsia="仿宋_GB2312"/>
              </w:rPr>
              <w:t>一、评审内容 针对本项目提供以两周为周期的配餐方案，（包括但不限于①菜肴品种；②膳食搭配营养），按其响应程度进行综合赋分。 二、评审标准 ①完整性：方案须全面，对评审内容中的各项要求有详细描述及说明； ②可实施性：切合本项目实际情况，实施步骤清晰、合理； ③针对性：方案能够紧扣项目实际情况，内容科学合理。 三、赋分标准（满分6分） ①菜肴品种：每满足一项评审标准得1.0分，存在瑕疵得0.5分，满分3.0分； ②膳食搭配营养：每满足一项评审标准得1.0分，存在瑕疵得0.5分，满分3.0分。 瑕疵是指存在不完全满足评分标准，但项目仍可实施。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提出针对本项目的应急预案，内容包括： ①停水、停电、停气预案及应对措施； ②食物中毒预案及应对措施； ③突发性的活动、考察预案及应对措施，按其响应程度进行综合赋分。 二、评审标准 ①完整性：方案须全面，对评审内容中的各项要求有详细描述及说明； ②可实施性：切合本项目实际情况，实施步骤清晰、合理； ③针对性：方案能够紧扣项目实际情况，内容科学合理。 三、赋分标准（满分9分） ①停水、停电、停气预案及应对措施：每满足一项评审标准得1.0分，存在瑕疵得0.5分，满分3.0分； ②食物中毒预案及应对措施：每满足一项评审标准得1.0分，存在瑕疵得0.5分，满分3.0分； ③突发性的活动、考察预案及应对措施：每满足一项评审标准得1.0分，存在瑕疵得0.5分，满分3.0分。 瑕疵是指存在不完全满足评分标准，但项目仍可实施。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1.拟派项目人员中具有厨师证(中式烹调师、中式面点师)三级及以上职业资格证书的，每提供1人计3.0分，最高得18.0分。 2.拟派项目人员中配备营养师的，得1.5分。 3.拟派项目人员每提供一个健康证得0.5，最高得分5.5分。 备注:以上人员须提供劳动合同或社保证明及相关证书复印件并加盖公章，未提供不计分。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食品安全承诺</w:t>
            </w:r>
          </w:p>
        </w:tc>
        <w:tc>
          <w:tcPr>
            <w:tcW w:type="dxa" w:w="2492"/>
          </w:tcPr>
          <w:p>
            <w:pPr>
              <w:pStyle w:val="null3"/>
            </w:pPr>
            <w:r>
              <w:rPr>
                <w:rFonts w:ascii="仿宋_GB2312" w:hAnsi="仿宋_GB2312" w:cs="仿宋_GB2312" w:eastAsia="仿宋_GB2312"/>
              </w:rPr>
              <w:t>1.供应商出具近3年无市场监管部门食品安全处罚记录承诺得1.5分，无承诺或存在处罚记录得0分。 2.供应商出具近3年无食品安全事故承诺得1.5分，无承诺或存在安全事故得0分。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用户评价</w:t>
            </w:r>
          </w:p>
        </w:tc>
        <w:tc>
          <w:tcPr>
            <w:tcW w:type="dxa" w:w="2492"/>
          </w:tcPr>
          <w:p>
            <w:pPr>
              <w:pStyle w:val="null3"/>
            </w:pPr>
            <w:r>
              <w:rPr>
                <w:rFonts w:ascii="仿宋_GB2312" w:hAnsi="仿宋_GB2312" w:cs="仿宋_GB2312" w:eastAsia="仿宋_GB2312"/>
              </w:rPr>
              <w:t>供应商提供不同单位出具的客户满意度评价，每提供1份得1.0分，最高得3.0分。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提供2023年1月1日至响应文件递交截止时间止供应商类似项目（食堂餐饮服务）合同案例，每提供一个得2.0分，满分20.0分。 注：需提供业绩合同复印件并加盖供应商公章，日期以合同签订日期为准，未提供或所提供证明材料不符合要求的不得分。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详见附件：响应供应商基本情况表.docx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详见附件：西安市碑林区人民法院食堂包厨服务采购项目合同.docx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