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版本号：HTXMZB2026-03120260731001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镇安县2026年噻虫啉药剂采购及松材线虫病树干注药项目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HTXMZB2026-031</w:t>
      </w:r>
      <w:r>
        <w:br/>
      </w:r>
      <w:r>
        <w:br/>
      </w:r>
      <w:r>
        <w:br/>
      </w:r>
    </w:p>
    <w:p>
      <w:pPr>
        <w:pStyle w:val="null3"/>
        <w:jc w:val="center"/>
        <w:outlineLvl w:val="2"/>
      </w:pPr>
      <w:r>
        <w:rPr>
          <w:rFonts w:ascii="仿宋_GB2312" w:hAnsi="仿宋_GB2312" w:cs="仿宋_GB2312" w:eastAsia="仿宋_GB2312"/>
          <w:sz w:val="28"/>
          <w:b/>
        </w:rPr>
        <w:t>镇安县林业综合服务中心</w:t>
      </w:r>
    </w:p>
    <w:p>
      <w:pPr>
        <w:pStyle w:val="null3"/>
        <w:jc w:val="center"/>
        <w:outlineLvl w:val="2"/>
      </w:pPr>
      <w:r>
        <w:rPr>
          <w:rFonts w:ascii="仿宋_GB2312" w:hAnsi="仿宋_GB2312" w:cs="仿宋_GB2312" w:eastAsia="仿宋_GB2312"/>
          <w:sz w:val="28"/>
          <w:b/>
        </w:rPr>
        <w:t>陕西华泰工程项目管理有限公司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陕西华泰工程项目管理有限公司</w:t>
      </w:r>
      <w:r>
        <w:rPr>
          <w:rFonts w:ascii="仿宋_GB2312" w:hAnsi="仿宋_GB2312" w:cs="仿宋_GB2312" w:eastAsia="仿宋_GB2312"/>
        </w:rPr>
        <w:t>（以下简称“代理机构”）受</w:t>
      </w:r>
      <w:r>
        <w:rPr>
          <w:rFonts w:ascii="仿宋_GB2312" w:hAnsi="仿宋_GB2312" w:cs="仿宋_GB2312" w:eastAsia="仿宋_GB2312"/>
        </w:rPr>
        <w:t>镇安县林业综合服务中心</w:t>
      </w:r>
      <w:r>
        <w:rPr>
          <w:rFonts w:ascii="仿宋_GB2312" w:hAnsi="仿宋_GB2312" w:cs="仿宋_GB2312" w:eastAsia="仿宋_GB2312"/>
        </w:rPr>
        <w:t>委托，拟对</w:t>
      </w:r>
      <w:r>
        <w:rPr>
          <w:rFonts w:ascii="仿宋_GB2312" w:hAnsi="仿宋_GB2312" w:cs="仿宋_GB2312" w:eastAsia="仿宋_GB2312"/>
        </w:rPr>
        <w:t>镇安县2026年噻虫啉药剂采购及松材线虫病树干注药项目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HTXMZB2026-031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镇安县2026年噻虫啉药剂采购及松材线虫病树干注药项目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进一步做好镇安县松材线虫病防控工作，坚决遏制松材线虫病的严重发生和扩散蔓延，保护镇安县松林资源安全，切实提高防治成效。2026年度计划采购噻虫啉药剂及树干注药阿维菌素。1.采购2%的噻虫啉微囊粉剂10吨。2.采购甲氨基阿维菌素苯甲酸盐（50ml/支）5万支及人工，对全县15个镇（街道）和2个国有林场当年疫木除治点密接的重点松林（松树株数在20株以下）开展树干打孔注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采购包1（噻虫啉药剂采购）：属于专门面向中小企业采购。</w:t>
      </w:r>
    </w:p>
    <w:p>
      <w:pPr>
        <w:pStyle w:val="null3"/>
      </w:pPr>
      <w:r>
        <w:rPr>
          <w:rFonts w:ascii="仿宋_GB2312" w:hAnsi="仿宋_GB2312" w:cs="仿宋_GB2312" w:eastAsia="仿宋_GB2312"/>
        </w:rPr>
        <w:t>采购包2（松材线虫病树干注药）：属于专门面向中小企业采购。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2024年至今任意一年经审计的财务报告（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3、税收缴纳证明：提供2025年7月1日至今任意一个月的纳税证明或完税证明，依法免税或无需缴纳税收的供应商应提供相关证明材料。</w:t>
      </w:r>
    </w:p>
    <w:p>
      <w:pPr>
        <w:pStyle w:val="null3"/>
      </w:pPr>
      <w:r>
        <w:rPr>
          <w:rFonts w:ascii="仿宋_GB2312" w:hAnsi="仿宋_GB2312" w:cs="仿宋_GB2312" w:eastAsia="仿宋_GB2312"/>
        </w:rPr>
        <w:t>4、社会保障资金缴纳证明：提供2025年7月1日至今任意一个月的社会保障资金缴存单据或社保机构开具的社会保险参保缴费情况证明，依法不需要缴纳社会保障资金的单位应提供相关证明材料。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5、资质要求：供应商须具有农药经营许可证或农药生产许可证、农药登记证、产品标准证。</w:t>
      </w:r>
    </w:p>
    <w:p>
      <w:pPr>
        <w:pStyle w:val="null3"/>
      </w:pPr>
      <w:r>
        <w:rPr>
          <w:rFonts w:ascii="仿宋_GB2312" w:hAnsi="仿宋_GB2312" w:cs="仿宋_GB2312" w:eastAsia="仿宋_GB2312"/>
        </w:rPr>
        <w:t>6、履行合同承诺函：提供具有履行合同所必需的设备和专业技术能力的承诺函。</w:t>
      </w:r>
    </w:p>
    <w:p>
      <w:pPr>
        <w:pStyle w:val="null3"/>
      </w:pPr>
      <w:r>
        <w:rPr>
          <w:rFonts w:ascii="仿宋_GB2312" w:hAnsi="仿宋_GB2312" w:cs="仿宋_GB2312" w:eastAsia="仿宋_GB2312"/>
        </w:rPr>
        <w:t>7、书面声明：出具参加政府采购活动近3年内在经营活动中没有重大违法记录的书面声明。</w:t>
      </w:r>
    </w:p>
    <w:p>
      <w:pPr>
        <w:pStyle w:val="null3"/>
      </w:pPr>
      <w:r>
        <w:rPr>
          <w:rFonts w:ascii="仿宋_GB2312" w:hAnsi="仿宋_GB2312" w:cs="仿宋_GB2312" w:eastAsia="仿宋_GB2312"/>
        </w:rPr>
        <w:t>8、授权委托书：法定代表人直接参加投标的，须提供法定代表人身份证明；法定代表人授权他人参加投标的，须提供法定代表人授权委托书。</w:t>
      </w:r>
    </w:p>
    <w:p>
      <w:pPr>
        <w:pStyle w:val="null3"/>
      </w:pPr>
      <w:r>
        <w:rPr>
          <w:rFonts w:ascii="仿宋_GB2312" w:hAnsi="仿宋_GB2312" w:cs="仿宋_GB2312" w:eastAsia="仿宋_GB2312"/>
        </w:rPr>
        <w:t>9、信用记录：投标供应商不得为“信用中国”官网中列入失信被执行人、重大税收违法失信主体的投标人，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10、不接受联合体：本项目不接受联合体，供应商需在项目电子化交易系统中按要求上传相应证明文件并进行电子签章。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2024年至今任意一年经审计的财务报告（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3、税收缴纳证明：提供2025年7月1日至今任意一个月的纳税证明或完税证明，依法免税或无需缴纳税收的供应商应提供相关证明材料。</w:t>
      </w:r>
    </w:p>
    <w:p>
      <w:pPr>
        <w:pStyle w:val="null3"/>
      </w:pPr>
      <w:r>
        <w:rPr>
          <w:rFonts w:ascii="仿宋_GB2312" w:hAnsi="仿宋_GB2312" w:cs="仿宋_GB2312" w:eastAsia="仿宋_GB2312"/>
        </w:rPr>
        <w:t>4、社会保障资金缴纳证明：提供2025年7月1日至今任意一个月的社会保障资金缴存单据或社保机构开具的社会保险参保缴费情况证明，依法不需要缴纳社会保障资金的单位应提供相关证明材料。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5、资质要求：供应商须具有农药经营许可证或农药生产许可证、农药登记证、产品标准证。</w:t>
      </w:r>
    </w:p>
    <w:p>
      <w:pPr>
        <w:pStyle w:val="null3"/>
      </w:pPr>
      <w:r>
        <w:rPr>
          <w:rFonts w:ascii="仿宋_GB2312" w:hAnsi="仿宋_GB2312" w:cs="仿宋_GB2312" w:eastAsia="仿宋_GB2312"/>
        </w:rPr>
        <w:t>6、履行合同承诺函：提供具有履行合同所必需的设备和专业技术能力的承诺函。</w:t>
      </w:r>
    </w:p>
    <w:p>
      <w:pPr>
        <w:pStyle w:val="null3"/>
      </w:pPr>
      <w:r>
        <w:rPr>
          <w:rFonts w:ascii="仿宋_GB2312" w:hAnsi="仿宋_GB2312" w:cs="仿宋_GB2312" w:eastAsia="仿宋_GB2312"/>
        </w:rPr>
        <w:t>7、书面声明：出具参加政府采购活动近3年内在经营活动中没有重大违法记录的书面声明。</w:t>
      </w:r>
    </w:p>
    <w:p>
      <w:pPr>
        <w:pStyle w:val="null3"/>
      </w:pPr>
      <w:r>
        <w:rPr>
          <w:rFonts w:ascii="仿宋_GB2312" w:hAnsi="仿宋_GB2312" w:cs="仿宋_GB2312" w:eastAsia="仿宋_GB2312"/>
        </w:rPr>
        <w:t>8、授权委托书：法定代表人直接参加投标的，须提供法定代表人身份证明；法定代表人授权他人参加投标的，须提供法定代表人授权委托书。</w:t>
      </w:r>
    </w:p>
    <w:p>
      <w:pPr>
        <w:pStyle w:val="null3"/>
      </w:pPr>
      <w:r>
        <w:rPr>
          <w:rFonts w:ascii="仿宋_GB2312" w:hAnsi="仿宋_GB2312" w:cs="仿宋_GB2312" w:eastAsia="仿宋_GB2312"/>
        </w:rPr>
        <w:t>9、信用记录：投标供应商不得为“信用中国”官网中列入失信被执行人、重大税收违法失信主体的投标人，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10、不接受联合体：本项目不接受联合体，供应商需在项目电子化交易系统中按要求上传相应证明文件并进行电子签章。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镇安县林业综合服务中心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镇安县西沟路34号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镇安县林业综合服务中心经办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0914－5322673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陕西华泰工程项目管理有限公司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陕西省西安市经开区凤城五路世融嘉轩5号楼27层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纪娜、杨倩倩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13709298734、029-86250354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采购包1：592,000.00元</w:t>
            </w:r>
          </w:p>
          <w:p>
            <w:pPr>
              <w:pStyle w:val="null3"/>
            </w:pPr>
            <w:r>
              <w:rPr>
                <w:rFonts w:ascii="仿宋_GB2312" w:hAnsi="仿宋_GB2312" w:cs="仿宋_GB2312" w:eastAsia="仿宋_GB2312"/>
              </w:rPr>
              <w:t>采购包2：895,000.00元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代理服务费由中标人在领取成交通知书前一次性支付。 采购代理服务费账户： 公司名称：陕西华泰工程项目管理有限公司 账 号：509011510000061228 开 户 行：西安银行文艺北路支行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镇安县林业综合服务中心</w:t>
      </w:r>
      <w:r>
        <w:rPr>
          <w:rFonts w:ascii="仿宋_GB2312" w:hAnsi="仿宋_GB2312" w:cs="仿宋_GB2312" w:eastAsia="仿宋_GB2312"/>
        </w:rPr>
        <w:t>和</w:t>
      </w:r>
      <w:r>
        <w:rPr>
          <w:rFonts w:ascii="仿宋_GB2312" w:hAnsi="仿宋_GB2312" w:cs="仿宋_GB2312" w:eastAsia="仿宋_GB2312"/>
        </w:rPr>
        <w:t>陕西华泰工程项目管理有限公司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镇安县林业综合服务中心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陕西华泰工程项目管理有限公司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镇安县林业综合服务中心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陕西华泰工程项目管理有限公司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所有涉及知识产权，供应商必须确保采购人拥有其合法的、不受限制的无管使用权并免受任何侵权诉讼或率佳，否则，由此产生的一切经济损失和法律责任由供应商承担。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按招标文件、投标文件等服务指标验收，符合要求。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按招标文件、投标文件等服务指标验收，符合要求。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联系人：纪娜、杨倩倩</w:t>
      </w:r>
    </w:p>
    <w:p>
      <w:pPr>
        <w:pStyle w:val="null3"/>
      </w:pPr>
      <w:r>
        <w:rPr>
          <w:rFonts w:ascii="仿宋_GB2312" w:hAnsi="仿宋_GB2312" w:cs="仿宋_GB2312" w:eastAsia="仿宋_GB2312"/>
        </w:rPr>
        <w:t>联系电话：13709298734</w:t>
      </w:r>
    </w:p>
    <w:p>
      <w:pPr>
        <w:pStyle w:val="null3"/>
      </w:pPr>
      <w:r>
        <w:rPr>
          <w:rFonts w:ascii="仿宋_GB2312" w:hAnsi="仿宋_GB2312" w:cs="仿宋_GB2312" w:eastAsia="仿宋_GB2312"/>
        </w:rPr>
        <w:t>地址：陕西省西安市经开区凤城五路世融嘉轩5号楼27层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进一步做好镇安县松材线虫病防控工作，坚决遏制松材线虫病的严重发生和扩散蔓延，保护镇安县松林资源安全，切实提高防治成效。2026年度计划采购噻虫啉药剂及树干注药阿维菌素。1.采购2%的噻虫啉微囊粉剂10吨。2.采购甲氨基阿维菌素苯甲酸盐（50ml/支）5万支及人工，对全县15个镇（街道）和2个国有林场当年疫木除治点密接的重点松林（松树株数在20株以下）开展树干打孔注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592,000.00</w:t>
      </w:r>
    </w:p>
    <w:p>
      <w:pPr>
        <w:pStyle w:val="null3"/>
      </w:pPr>
      <w:r>
        <w:rPr>
          <w:rFonts w:ascii="仿宋_GB2312" w:hAnsi="仿宋_GB2312" w:cs="仿宋_GB2312" w:eastAsia="仿宋_GB2312"/>
        </w:rPr>
        <w:t>采购包最高限价（元）: 592,000.00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噻虫啉药剂采购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895,000.00</w:t>
      </w:r>
    </w:p>
    <w:p>
      <w:pPr>
        <w:pStyle w:val="null3"/>
      </w:pPr>
      <w:r>
        <w:rPr>
          <w:rFonts w:ascii="仿宋_GB2312" w:hAnsi="仿宋_GB2312" w:cs="仿宋_GB2312" w:eastAsia="仿宋_GB2312"/>
        </w:rPr>
        <w:t>采购包最高限价（元）: 895,000.00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松材线虫病树干注药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标的名称：噻虫啉药剂采购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的噻虫啉微囊粉剂</w:t>
            </w:r>
            <w:r>
              <w:rPr>
                <w:rFonts w:ascii="仿宋_GB2312" w:hAnsi="仿宋_GB2312" w:cs="仿宋_GB2312" w:eastAsia="仿宋_GB2312"/>
                <w:sz w:val="21"/>
              </w:rPr>
              <w:t>10</w:t>
            </w:r>
            <w:r>
              <w:rPr>
                <w:rFonts w:ascii="仿宋_GB2312" w:hAnsi="仿宋_GB2312" w:cs="仿宋_GB2312" w:eastAsia="仿宋_GB2312"/>
                <w:sz w:val="21"/>
              </w:rPr>
              <w:t>吨</w:t>
            </w:r>
            <w:r>
              <w:rPr>
                <w:rFonts w:ascii="仿宋_GB2312" w:hAnsi="仿宋_GB2312" w:cs="仿宋_GB2312" w:eastAsia="仿宋_GB2312"/>
                <w:sz w:val="21"/>
              </w:rPr>
              <w:t>。需国产。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标的名称：松材线虫病树干注药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甲氨基阿维菌素苯甲酸盐</w:t>
            </w:r>
            <w:r>
              <w:rPr>
                <w:rFonts w:ascii="仿宋_GB2312" w:hAnsi="仿宋_GB2312" w:cs="仿宋_GB2312" w:eastAsia="仿宋_GB2312"/>
                <w:sz w:val="21"/>
              </w:rPr>
              <w:t>5%</w:t>
            </w:r>
            <w:r>
              <w:rPr>
                <w:rFonts w:ascii="仿宋_GB2312" w:hAnsi="仿宋_GB2312" w:cs="仿宋_GB2312" w:eastAsia="仿宋_GB2312"/>
                <w:sz w:val="21"/>
              </w:rPr>
              <w:t>浓度</w:t>
            </w:r>
            <w:r>
              <w:rPr>
                <w:rFonts w:ascii="仿宋_GB2312" w:hAnsi="仿宋_GB2312" w:cs="仿宋_GB2312" w:eastAsia="仿宋_GB2312"/>
                <w:sz w:val="21"/>
              </w:rPr>
              <w:t>（</w:t>
            </w:r>
            <w:r>
              <w:rPr>
                <w:rFonts w:ascii="仿宋_GB2312" w:hAnsi="仿宋_GB2312" w:cs="仿宋_GB2312" w:eastAsia="仿宋_GB2312"/>
                <w:sz w:val="21"/>
              </w:rPr>
              <w:t>50ml/</w:t>
            </w:r>
            <w:r>
              <w:rPr>
                <w:rFonts w:ascii="仿宋_GB2312" w:hAnsi="仿宋_GB2312" w:cs="仿宋_GB2312" w:eastAsia="仿宋_GB2312"/>
                <w:sz w:val="21"/>
              </w:rPr>
              <w:t>支）</w:t>
            </w:r>
            <w:r>
              <w:rPr>
                <w:rFonts w:ascii="仿宋_GB2312" w:hAnsi="仿宋_GB2312" w:cs="仿宋_GB2312" w:eastAsia="仿宋_GB2312"/>
                <w:sz w:val="21"/>
              </w:rPr>
              <w:t>5</w:t>
            </w:r>
            <w:r>
              <w:rPr>
                <w:rFonts w:ascii="仿宋_GB2312" w:hAnsi="仿宋_GB2312" w:cs="仿宋_GB2312" w:eastAsia="仿宋_GB2312"/>
                <w:sz w:val="21"/>
              </w:rPr>
              <w:t>万支及人工费</w:t>
            </w:r>
            <w:r>
              <w:rPr>
                <w:rFonts w:ascii="仿宋_GB2312" w:hAnsi="仿宋_GB2312" w:cs="仿宋_GB2312" w:eastAsia="仿宋_GB2312"/>
                <w:sz w:val="21"/>
              </w:rPr>
              <w:t>。需国产。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自合同签订之日起30日历天内完成全部项目内容，并交付采购人验收合格。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自合同签订之日起90日历天内完成全部项目内容，并交付采购人验收合格。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按照合同约定的物资数量供应到甲方指定地点并经甲方验收合格后，同时在收到乙方提供的市级及市级以上质检部门出具的该批物资的质检报告、合格证、送货收条、全额货款票据等凭证资料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进度款，质保期满，达到付款条件起10个工作日内，支付合同总金额的3.0%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按照合同约定的物资数量供应到甲方指定地点并经甲方验收合格后，同时在收到乙方提供的市级及市级以上质检部门出具的该批物资的质检报告、合格证、送货收条等凭证资料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进度款，项目完工且验收合格，达到付款条件起10个工作日内，支付合同总金额的17.0%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（1）由采购人实施验收，符合现行国家有关规范“合格”标准。 （2）验收依据：验收须以合同、招标文件、投标文件、澄清及国家相应的标准、规范等为依据。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（1）由采购人实施验收，符合现行国家有关规范“合格”标准。 （2）验收依据：验收须以合同、招标文件、投标文件、澄清及国家相应的标准、规范等为依据。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按照树干注药技术方案要求，完成树干注药任务，并在规定的时间内，在全国林草APP线虫防控业务模块上传注药数据。</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（2）未按要求提供产品或产品质量不能满足技术要求，甲方有权终止合同，并保留追究乙方违约责任的权利。 （3）如乙方逾期交货且未经甲方同意延长交货时间，除不可抗力外，每逾期一日，乙方应按照逾期交货金额的1‰的标准累计计算向甲方支付违约金。产品质量问题违约的，除了按照迟延时间计算违约金外，另可以采取退货、换货等方式，由供方承担一切费用。 （4）合同履行过程中产生的一切分歧与争议，双方优先通过友好协商解决；协商无法达成一致的，任何一方均可向项目所在地人民法院提起民事诉讼。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（2）未按要求提供产品或产品质量不能满足技术要求，甲方有权终止合同，并保留追究乙方违约责任的权利。 （3）如乙方逾期交货及服务，且未经甲方同意延长交货纪服务时间，除不可抗力外，每逾期一日，乙方应按照逾期交货金额的1‰的标准累计计算向甲方支付违约金。产品质量问题违约的，除了按照迟延时间计算违约金外，另可以采取退货、换货等方式，由供方承担一切费用。 （4）合同履行过程中产生的一切分歧与争议，双方优先通过友好协商解决；协商无法达成一致的，任何一方均可向项目所在地人民法院提起民事诉讼。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项目需要落实的政府采购政策：1)《政府采购促进中小企业发展管理办法》（财库〔2020〕46号）、《财政部关于进一步加大政府采购支持中小企业力度》的通知（财库〔2022〕19号）、《陕西省财政厅关于进一步加大政府采购支持中小企业力度的通知》（陕财办采〔2022〕5号）；2)《财政部司法部关于政府采购支持监狱企业发展有关问题的通知》（财库〔2014〕68号）；3)《财政部民政部中国残疾人联合会关于促进残疾人就业政府采购政策的通知》（财库〔2017〕141号）；4)《财政部国家发展改革委关于印发(节能产品政府采购实施意见)的通知》(财库〔2004〕185号)；5)《国务院办公厅关于建立政府强制采购节能产品制度的通知》(国办发〔2007〕51号)；6)《财政部环保总局关于环境标志产品政府采购实施的意见》(财库〔2006〕90号)；7)《财政部 发展改革委 生态环境部 市场监管总局关于调整优化节能产品、环境标志产品政府采购执行机制的通知》（财库〔2019〕9号）；8)《关于印发环境标志产品政府采购品目清单的通知》（财库〔2019〕18号）；9)《关于印发节能产品政府采购品目清单的通知》（财库〔2019〕19号）；10)《财政部、农业农村部、国家乡村振兴局关于运用政府采购政策支持乡村产业振兴的通知》（财库2021〕19号）；11)《陕西省财政厅关于印发陕西省中小企业政府采购信用融资办法》（陕财办采〔2018〕23号）；12)《陕西省财政厅关于加快推进我省中小企业政府采购信用融资工作的通知》（陕财办采〔2020〕15号）；13）《关于政府采购支持绿色建材促进建筑品质提升试点工作的通知》（财库〔2020〕3 1 号）；14）《财政部办公厅关于组织地方预算单位做好2023年政府采购脱贫地区农副产品工作的通知》（财办库〔2023〕4 5 号）；15）《财政部住房城乡建设部工业和信息化部关于扩大政府采购绿色建材促进建筑品质提升政策实施范围的通知》（财库〔2022〕35号）；16）其他需要落实的政府采购政策。 （二）采购标的对应的中小企业划分标准所属行业为工业。 执行价格评审优惠的扶持政策，投标人为小型、微型企业释义：供应商所提供的货物应由小型、微型企业制造（即货物由小型、微型企业生产且使用该小型、微型企业商号或者注册商标）。 工业的划型标准为： 从业人员1000人以下或营业收入40000万元以下的为中小微型企业。其中，从业人员300人及以上，且营业收入2000万元及 以上的为中型企业；从业人员20人及以上，且营业收入300万元及以上的为小型企业；从业人员20人以下或营业收入300万 元以下的为微型企业。 （三）为顺利推进政府采购电子化交易平台应用工作，供应商需要在线提交所有通过电子化交易平台实施的政府采购项目的响应文件，投标时投标供应商无需提供纸质版投标文件。成交人（中标人）在领取中标通知书前将纸质版投标文件正本1份、副本2份打印盖章及电子版U盘1份提交至招标代理公司处（陕西省西安市经开区凤城五路世融嘉轩5号楼27层招标部），以便采购人进行留存备案等工作，中标人应保持投标文件纸质版内容与电子版（系统上传）内容完全一致，否则将承担一切法律责任。纸质投标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资格要求证明文件.pdf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资格要求证明文件.pdf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资格要求证明文件.pdf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资格要求证明文件.pdf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提供2024年至今任意一年经审计的财务报告（成立时间至提交投标文件截止时间不足一年的可提供成立后任意时段的资产负债表）或其基本存款账户开户银行出具的资信证明及基本存款账户开户许可证。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提供2025年7月1日至今任意一个月的纳税证明或完税证明，依法免税或无需缴纳税收的供应商应提供相关证明材料。</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供应商须具有农药经营许可证或农药生产许可证、农药登记证、产品标准证。</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出具参加政府采购活动近3年内在经营活动中没有重大违法记录的书面声明。</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为“信用中国”官网中列入失信被执行人、重大税收违法失信主体的投标人，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提供2024年至今任意一年经审计的财务报告（成立时间至提交投标文件截止时间不足一年的可提供成立后任意时段的资产负债表）或其基本存款账户开户银行出具的资信证明及基本存款账户开户许可证。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提供2025年7月1日至今任意一个月的纳税证明或完税证明，依法免税或无需缴纳税收的供应商应提供相关证明材料。</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供应商须具有农药经营许可证或农药生产许可证、农药登记证、产品标准证。</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出具参加政府采购活动近3年内在经营活动中没有重大违法记录的书面声明。</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为“信用中国”官网中列入失信被执行人、重大税收违法失信主体的投标人，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供应商承诺书.pdf 其他资料.pdf 资格要求证明文件.pdf 投标人应提交的相关资格证明材料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其他资料.pdf 资格要求证明文件.pdf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其他资料.pdf 资格要求证明文件.pdf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投标文件封面 投标报价表.pdf 其他资料.pdf 监狱企业的证明文件 关于符合本国产品标准的声明函.pdf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投标报价未超过采购预算或最高限价(合格)， 投标报价超过采购预算或最高限价(不合格)</w:t>
            </w:r>
          </w:p>
        </w:tc>
        <w:tc>
          <w:tcPr>
            <w:tcW w:type="dxa" w:w="1661"/>
          </w:tcPr>
          <w:p>
            <w:pPr>
              <w:pStyle w:val="null3"/>
            </w:pPr>
            <w:r>
              <w:rPr>
                <w:rFonts w:ascii="仿宋_GB2312" w:hAnsi="仿宋_GB2312" w:cs="仿宋_GB2312" w:eastAsia="仿宋_GB2312"/>
              </w:rPr>
              <w:t>开标一览表 投标函 标的清单 投标报价表.pdf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 交货时间不满足招标文件要求(不合格)</w:t>
            </w:r>
          </w:p>
        </w:tc>
        <w:tc>
          <w:tcPr>
            <w:tcW w:type="dxa" w:w="1661"/>
          </w:tcPr>
          <w:p>
            <w:pPr>
              <w:pStyle w:val="null3"/>
            </w:pPr>
            <w:r>
              <w:rPr>
                <w:rFonts w:ascii="仿宋_GB2312" w:hAnsi="仿宋_GB2312" w:cs="仿宋_GB2312" w:eastAsia="仿宋_GB2312"/>
              </w:rPr>
              <w:t>开标一览表 投标函 标的清单 投标报价表.pdf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开标一览表 投标函 标的清单 投标报价表.pdf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投标文件封面 投标报价表.pdf 其他资料.pdf 监狱企业的证明文件 关于符合本国产品标准的声明函.pdf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符合“投标文件格式”要求(合格)， 不符合“投标文件格式”要求(不合格)。 （不得因文件排序等非实质性的格式、形式问题限制和影响供应商投标)</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投标文件封面 投标报价表.pdf 其他资料.pdf 监狱企业的证明文件 关于符合本国产品标准的声明函.pdf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开标一览表 投标函 标的清单 投标报价表.pdf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投标文件响应内容的完整性、响应性</w:t>
            </w:r>
          </w:p>
        </w:tc>
        <w:tc>
          <w:tcPr>
            <w:tcW w:type="dxa" w:w="3322"/>
          </w:tcPr>
          <w:p>
            <w:pPr>
              <w:pStyle w:val="null3"/>
            </w:pPr>
            <w:r>
              <w:rPr>
                <w:rFonts w:ascii="仿宋_GB2312" w:hAnsi="仿宋_GB2312" w:cs="仿宋_GB2312" w:eastAsia="仿宋_GB2312"/>
              </w:rPr>
              <w:t>投标文件内容完整。实质性条款全部响应。无采购人不能接受的附加条件。</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投标文件封面 投标报价表.pdf 其他资料.pdf 监狱企业的证明文件 关于符合本国产品标准的声明函.pdf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符合法律、法规和招标文件中规定的其他实质性要求不存在法律、法规和招标文件规定的其他实质性要求(合格)，存在法律、法规和招标文件规定的其他实质性要求(不合格)</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投标文件封面 投标报价表.pdf 其他资料.pdf 监狱企业的证明文件 关于符合本国产品标准的声明函.pdf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关于符合本国产品标准的声明函 投标文件封面 投标报价表.pdf 其他资料.pdf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投标报价未超过采购预算或最高限价(合格)， 投标报价超过采购预算或最高限价(不合格)</w:t>
            </w:r>
          </w:p>
        </w:tc>
        <w:tc>
          <w:tcPr>
            <w:tcW w:type="dxa" w:w="1661"/>
          </w:tcPr>
          <w:p>
            <w:pPr>
              <w:pStyle w:val="null3"/>
            </w:pPr>
            <w:r>
              <w:rPr>
                <w:rFonts w:ascii="仿宋_GB2312" w:hAnsi="仿宋_GB2312" w:cs="仿宋_GB2312" w:eastAsia="仿宋_GB2312"/>
              </w:rPr>
              <w:t>开标一览表 投标函 标的清单 投标报价表.pdf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 交货时间不满足招标文件要求(不合格)</w:t>
            </w:r>
          </w:p>
        </w:tc>
        <w:tc>
          <w:tcPr>
            <w:tcW w:type="dxa" w:w="1661"/>
          </w:tcPr>
          <w:p>
            <w:pPr>
              <w:pStyle w:val="null3"/>
            </w:pPr>
            <w:r>
              <w:rPr>
                <w:rFonts w:ascii="仿宋_GB2312" w:hAnsi="仿宋_GB2312" w:cs="仿宋_GB2312" w:eastAsia="仿宋_GB2312"/>
              </w:rPr>
              <w:t>开标一览表 投标函 标的清单 投标报价表.pdf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开标一览表 投标函 标的清单 投标报价表.pdf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关于符合本国产品标准的声明函 投标文件封面 投标报价表.pdf 其他资料.pdf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符合“投标文件格式”要求(合格)， 不符合“投标文件格式”要求(不合格)。 （不得因文件排序等非实质性的格式、形式问题限制和影响供应商投标)</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关于符合本国产品标准的声明函 投标文件封面 投标报价表.pdf 其他资料.pdf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开标一览表 投标函 标的清单 投标报价表.pdf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投标文件响应内容的完整性、响应性</w:t>
            </w:r>
          </w:p>
        </w:tc>
        <w:tc>
          <w:tcPr>
            <w:tcW w:type="dxa" w:w="3322"/>
          </w:tcPr>
          <w:p>
            <w:pPr>
              <w:pStyle w:val="null3"/>
            </w:pPr>
            <w:r>
              <w:rPr>
                <w:rFonts w:ascii="仿宋_GB2312" w:hAnsi="仿宋_GB2312" w:cs="仿宋_GB2312" w:eastAsia="仿宋_GB2312"/>
              </w:rPr>
              <w:t>投标文件内容完整。实质性条款全部响应。无采购人不能接受的附加条件。</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关于符合本国产品标准的声明函 投标文件封面 投标报价表.pdf 其他资料.pdf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符合法律、法规和招标文件中规定的其他实质性要求不存在法律、法规和招标文件规定的其他实质性要求(合格)，存在法律、法规和招标文件规定的其他实质性要求(不合格)</w:t>
            </w:r>
          </w:p>
        </w:tc>
        <w:tc>
          <w:tcPr>
            <w:tcW w:type="dxa" w:w="1661"/>
          </w:tcPr>
          <w:p>
            <w:pPr>
              <w:pStyle w:val="null3"/>
            </w:pPr>
            <w:r>
              <w:rPr>
                <w:rFonts w:ascii="仿宋_GB2312" w:hAnsi="仿宋_GB2312" w:cs="仿宋_GB2312" w:eastAsia="仿宋_GB2312"/>
              </w:rPr>
              <w:t>开标一览表 技术部分.pdf 中小企业声明函 商务应答表 供应商承诺书.pdf 资格要求证明文件.pdf 投标人应提交的相关资格证明材料 产品技术参数表 投标函 残疾人福利性单位声明函 标的清单 关于符合本国产品标准的声明函 投标文件封面 投标报价表.pdf 其他资料.pdf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产品技术与性能参数</w:t>
            </w:r>
          </w:p>
        </w:tc>
        <w:tc>
          <w:tcPr>
            <w:tcW w:type="dxa" w:w="2492"/>
          </w:tcPr>
          <w:p>
            <w:pPr>
              <w:pStyle w:val="null3"/>
            </w:pPr>
            <w:r>
              <w:rPr>
                <w:rFonts w:ascii="仿宋_GB2312" w:hAnsi="仿宋_GB2312" w:cs="仿宋_GB2312" w:eastAsia="仿宋_GB2312"/>
              </w:rPr>
              <w:t>投标产品技术参数和性能清晰、明确，满足招标要求得4分。根据技术参数和性能响应程度，由评标委员综合评审，偏离扣4分。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评审内容：投标供应商针对所投产品提供证明材料，包含①产品来源渠道，提供所投产品来源渠道合法的承诺书。②产品质检报告。评审标准：每提供一项内得4分，满分8分。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投标供应商针对本项目提出具体的实施方案，方案内容包含：①需求分析②实施思路③进度保障方案④人员配备⑤供货方案⑥储存方案。评审标准：方案各部分内容全面详细、阐述条理清晰详尽、符合本项目采购需求得18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评审内容：投标供应商针对本项目拟定的应急保障方案，内容包含：①进度延误及出现质量问题时的补救措施；②应急储备预案及应急处置流程。 评审标准：每提供一项内得2.5分，满分5分。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评审内容：投标供应商针对本项目拟定的验收方案，内容包含：①资料资质验收，核验全套法定资质证书、批次资料、单据一致性，确保货品合规合法；② 实物质量数量验收：清点数量、检查包装外观，抽样核查药剂理化指标、规格参数。 评审标准：每提供一项内得2.5分，满分5分。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供应商针对本项目提出具体的售后服务方案，方案内容包含：①售后服务保障体系②售后服务人员组织（须具有有害生物防治人员培训合格证书）③售后服务承诺。评审标准：方案各部分内容全面详细、阐述条理清晰详尽、符合本项目采购需求得12分；评审内容每缺一项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投标供应商针对本项目提出具体的培训方案，方案内容包含：①培训内容、培训人员安排、时间安排②培训结果考核。评审标准：方案各部分内容全面详细、阐述条理清晰详尽、符合本项目采购需求得8分；评审内容每缺一项扣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评审内容：供应商提供2023年1月至今（以合同签订日期为准）类似项目业绩，以合同复印件为准，每一份计2分，最多计10分。 评审依据：业绩证明材料（以投标文件中提供的合同复印件为准，合同关键页复印件并加盖供应商公章，合同关键页内容须包含合同名称、签订双方名称、签订时间、主要服务内容、双方盖章页等）。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经初审合格的供应商，其投标报价为有效报价。评标基准价：即满足招标文件要求且投标报价最低的报价为评标基准价。其他供应商的价格分统一按照下列公式计算。 报价计分=(评标基准价/投标报价)×30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产品技术与性能参数</w:t>
            </w:r>
          </w:p>
        </w:tc>
        <w:tc>
          <w:tcPr>
            <w:tcW w:type="dxa" w:w="2492"/>
          </w:tcPr>
          <w:p>
            <w:pPr>
              <w:pStyle w:val="null3"/>
            </w:pPr>
            <w:r>
              <w:rPr>
                <w:rFonts w:ascii="仿宋_GB2312" w:hAnsi="仿宋_GB2312" w:cs="仿宋_GB2312" w:eastAsia="仿宋_GB2312"/>
              </w:rPr>
              <w:t>投标产品技术参数和性能清晰、明确，满足招标要求得4分。根据技术参数和性能响应程度，由评标委员综合评审，偏离扣4分。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评审内容：投标供应商针对所投产品提供证明材料，包含①产品来源渠道，提供所投产品来源渠道合法的承诺书。②产品质检报告。评审标准：每提供一项内得4分，满分8分。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投标供应商针对本项目提出具体的实施方案，方案内容包含：①需求分析②实施思路③进度保障方案④人员配备⑤供货方案⑥储存方案。评审标准：方案各部分内容全面详细、阐述条理清晰详尽、符合本项目采购需求得18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评审内容：投标供应商针对本项目拟定的应急保障方案，内容包含：①进度延误及出现质量问题时的补救措施；②应急储备预案及应急处置流程。 评审标准：每提供一项内得2.5分，满分5分。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评审内容：投标供应商针对本项目拟定的验收方案，内容包含：①资料资质验收，核验全套法定资质证书、批次资料、单据一致性，确保货品合规合法；② 实物质量数量验收：清点数量、检查包装外观，抽样核查药剂理化指标、规格参数。 评审标准：每提供一项内得2.5分，满分5分。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供应商针对本项目提出具体的售后服务方案，方案内容包含：①售后服务保障体系②售后服务人员组织（须具有有害生物防治人员培训合格证书）③售后服务承诺。评审标准：方案各部分内容全面详细、阐述条理清晰详尽、符合本项目采购需求得12分；评审内容每缺一项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投标供应商针对本项目提出具体的培训方案，方案内容包含：①培训内容、培训人员安排、时间安排②培训结果考核。评审标准：方案各部分内容全面详细、阐述条理清晰详尽、符合本项目采购需求得8分；评审内容每缺一项扣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评审内容：供应商提供2023年1月至今（以合同签订日期为准）类似项目业绩，以合同复印件为准，每一份计2分，最多计10分。 评审依据：业绩证明材料（以投标文件中提供的合同复印件为准，合同关键页复印件并加盖供应商公章，合同关键页内容须包含合同名称、签订双方名称、签订时间、主要服务内容、双方盖章页等）。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技术部分.pdf</w:t>
            </w:r>
          </w:p>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经初审合格的供应商，其投标报价为有效报价。评标基准价：即满足招标文件要求且投标报价最低的报价为评标基准价。其他供应商的价格分统一按照下列公式计算。 报价计分=(评标基准价/投标报价)×30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详见附件：投标报价表.pdf</w:t>
      </w:r>
    </w:p>
    <w:p>
      <w:pPr>
        <w:pStyle w:val="null3"/>
        <w:ind w:firstLine="960"/>
      </w:pPr>
      <w:r>
        <w:rPr>
          <w:rFonts w:ascii="仿宋_GB2312" w:hAnsi="仿宋_GB2312" w:cs="仿宋_GB2312" w:eastAsia="仿宋_GB2312"/>
        </w:rPr>
        <w:t>详见附件：资格要求证明文件.pdf</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详见附件：关于符合本国产品标准的声明函.pdf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详见附件：技术部分.pdf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详见附件：其他资料.pdf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详见附件：投标报价表.pdf</w:t>
      </w:r>
    </w:p>
    <w:p>
      <w:pPr>
        <w:pStyle w:val="null3"/>
        <w:ind w:firstLine="960"/>
      </w:pPr>
      <w:r>
        <w:rPr>
          <w:rFonts w:ascii="仿宋_GB2312" w:hAnsi="仿宋_GB2312" w:cs="仿宋_GB2312" w:eastAsia="仿宋_GB2312"/>
        </w:rPr>
        <w:t>详见附件：资格要求证明文件.pdf</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详见附件：技术部分.pdf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详见附件：其他资料.pdf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