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E33EE"/>
    <w:p w14:paraId="63E276AC">
      <w:pPr>
        <w:spacing w:line="360" w:lineRule="auto"/>
        <w:jc w:val="center"/>
        <w:rPr>
          <w:rFonts w:hint="eastAsia" w:ascii="仿宋_GB2312" w:eastAsia="仿宋_GB2312"/>
          <w:b/>
          <w:kern w:val="44"/>
          <w:sz w:val="32"/>
          <w:szCs w:val="20"/>
        </w:rPr>
      </w:pPr>
      <w:r>
        <w:rPr>
          <w:rFonts w:hint="eastAsia" w:ascii="宋体" w:hAnsi="宋体" w:cs="宋体"/>
          <w:b/>
          <w:color w:val="000000"/>
          <w:sz w:val="36"/>
          <w:szCs w:val="36"/>
        </w:rPr>
        <w:t>采购合同（参考）</w:t>
      </w:r>
    </w:p>
    <w:p w14:paraId="1BA27CD9">
      <w:pPr>
        <w:spacing w:line="360" w:lineRule="auto"/>
        <w:ind w:firstLine="482" w:firstLineChars="200"/>
        <w:rPr>
          <w:rFonts w:hint="eastAsia" w:ascii="宋体" w:hAnsi="宋体" w:cs="宋体"/>
          <w:b/>
          <w:bCs w:val="0"/>
          <w:color w:val="000000"/>
          <w:sz w:val="24"/>
          <w:lang w:eastAsia="zh-CN"/>
        </w:rPr>
      </w:pPr>
      <w:r>
        <w:rPr>
          <w:rFonts w:hint="eastAsia" w:ascii="宋体" w:hAnsi="宋体" w:cs="宋体"/>
          <w:b/>
          <w:bCs w:val="0"/>
          <w:color w:val="000000"/>
          <w:sz w:val="24"/>
        </w:rPr>
        <w:t>甲方：</w:t>
      </w:r>
      <w:r>
        <w:rPr>
          <w:rFonts w:hint="eastAsia" w:ascii="宋体" w:hAnsi="宋体" w:cs="宋体"/>
          <w:b/>
          <w:bCs w:val="0"/>
          <w:color w:val="000000"/>
          <w:sz w:val="24"/>
          <w:lang w:eastAsia="zh-CN"/>
        </w:rPr>
        <w:t>镇安县林业综合服务中心</w:t>
      </w:r>
    </w:p>
    <w:p w14:paraId="2026961D">
      <w:pPr>
        <w:spacing w:line="360" w:lineRule="auto"/>
        <w:ind w:firstLine="482" w:firstLineChars="200"/>
        <w:rPr>
          <w:rFonts w:hint="eastAsia" w:ascii="宋体" w:hAnsi="宋体" w:cs="宋体"/>
          <w:bCs/>
          <w:color w:val="000000"/>
          <w:sz w:val="24"/>
        </w:rPr>
      </w:pPr>
      <w:r>
        <w:rPr>
          <w:rFonts w:hint="eastAsia" w:ascii="宋体" w:hAnsi="宋体" w:cs="宋体"/>
          <w:b/>
          <w:bCs w:val="0"/>
          <w:color w:val="000000"/>
          <w:sz w:val="24"/>
        </w:rPr>
        <w:t>乙方：</w:t>
      </w:r>
    </w:p>
    <w:p w14:paraId="5FE79B04">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u w:val="single"/>
          <w:lang w:val="en-US" w:eastAsia="zh-CN"/>
        </w:rPr>
        <w:t xml:space="preserve">   镇安县2026年噻虫啉药剂采购及松材线虫病树干注药项目   </w:t>
      </w:r>
      <w:r>
        <w:rPr>
          <w:rFonts w:hint="eastAsia" w:ascii="宋体" w:hAnsi="宋体" w:cs="宋体"/>
          <w:bCs/>
          <w:color w:val="000000"/>
          <w:sz w:val="24"/>
        </w:rPr>
        <w:t>采购(项目编号：</w:t>
      </w:r>
      <w:r>
        <w:rPr>
          <w:rFonts w:hint="eastAsia" w:ascii="宋体" w:hAnsi="宋体" w:cs="宋体"/>
          <w:bCs/>
          <w:color w:val="000000"/>
          <w:sz w:val="24"/>
          <w:u w:val="single"/>
          <w:lang w:eastAsia="zh-CN"/>
        </w:rPr>
        <w:t xml:space="preserve"> </w:t>
      </w:r>
      <w:r>
        <w:rPr>
          <w:rFonts w:hint="eastAsia" w:ascii="宋体" w:hAnsi="宋体" w:cs="宋体"/>
          <w:bCs/>
          <w:color w:val="000000"/>
          <w:sz w:val="24"/>
          <w:u w:val="single"/>
          <w:lang w:val="en-US" w:eastAsia="zh-CN"/>
        </w:rPr>
        <w:t xml:space="preserve"> HTXMZB2026-031  </w:t>
      </w:r>
      <w:r>
        <w:rPr>
          <w:rFonts w:hint="eastAsia" w:ascii="宋体" w:hAnsi="宋体" w:cs="宋体"/>
          <w:bCs/>
          <w:color w:val="000000"/>
          <w:sz w:val="24"/>
        </w:rPr>
        <w:t>)由</w:t>
      </w:r>
      <w:r>
        <w:rPr>
          <w:rFonts w:hint="eastAsia" w:ascii="宋体" w:hAnsi="宋体" w:cs="宋体"/>
          <w:bCs/>
          <w:color w:val="000000"/>
          <w:sz w:val="24"/>
          <w:u w:val="single"/>
          <w:lang w:val="en-US" w:eastAsia="zh-CN"/>
        </w:rPr>
        <w:t xml:space="preserve">   陕西华泰工程项目管理有限公司  </w:t>
      </w:r>
      <w:r>
        <w:rPr>
          <w:rFonts w:hint="eastAsia" w:ascii="宋体" w:hAnsi="宋体" w:cs="宋体"/>
          <w:bCs/>
          <w:color w:val="000000"/>
          <w:sz w:val="24"/>
        </w:rPr>
        <w:t>组织公开招标，</w:t>
      </w:r>
      <w:r>
        <w:rPr>
          <w:rFonts w:hint="eastAsia" w:ascii="宋体" w:hAnsi="宋体" w:cs="宋体"/>
          <w:bCs/>
          <w:color w:val="000000"/>
          <w:sz w:val="24"/>
          <w:u w:val="single"/>
        </w:rPr>
        <w:t xml:space="preserve">      </w:t>
      </w:r>
      <w:r>
        <w:rPr>
          <w:rFonts w:hint="eastAsia" w:ascii="宋体" w:hAnsi="宋体" w:cs="宋体"/>
          <w:bCs/>
          <w:color w:val="000000"/>
          <w:sz w:val="24"/>
          <w:u w:val="single"/>
          <w:lang w:val="en-US" w:eastAsia="zh-CN"/>
        </w:rPr>
        <w:t xml:space="preserve">    </w:t>
      </w:r>
      <w:r>
        <w:rPr>
          <w:rFonts w:hint="eastAsia" w:ascii="宋体" w:hAnsi="宋体" w:cs="宋体"/>
          <w:bCs/>
          <w:color w:val="000000"/>
          <w:sz w:val="24"/>
          <w:u w:val="single"/>
        </w:rPr>
        <w:t xml:space="preserve">   </w:t>
      </w:r>
      <w:r>
        <w:rPr>
          <w:rFonts w:hint="eastAsia" w:ascii="宋体" w:hAnsi="宋体" w:cs="宋体"/>
          <w:bCs/>
          <w:color w:val="000000"/>
          <w:sz w:val="24"/>
        </w:rPr>
        <w:t>(以下简称“甲方”)确定</w:t>
      </w:r>
      <w:r>
        <w:rPr>
          <w:rFonts w:hint="eastAsia" w:ascii="宋体" w:hAnsi="宋体" w:cs="宋体"/>
          <w:bCs/>
          <w:color w:val="000000"/>
          <w:sz w:val="24"/>
          <w:u w:val="single"/>
        </w:rPr>
        <w:t xml:space="preserve">    </w:t>
      </w:r>
      <w:r>
        <w:rPr>
          <w:rFonts w:hint="eastAsia" w:ascii="宋体" w:hAnsi="宋体" w:cs="宋体"/>
          <w:bCs/>
          <w:color w:val="000000"/>
          <w:sz w:val="24"/>
          <w:u w:val="single"/>
          <w:lang w:val="en-US" w:eastAsia="zh-CN"/>
        </w:rPr>
        <w:t xml:space="preserve">    </w:t>
      </w:r>
      <w:r>
        <w:rPr>
          <w:rFonts w:hint="eastAsia" w:ascii="宋体" w:hAnsi="宋体" w:cs="宋体"/>
          <w:bCs/>
          <w:color w:val="000000"/>
          <w:sz w:val="24"/>
          <w:u w:val="single"/>
        </w:rPr>
        <w:t xml:space="preserve">   </w:t>
      </w:r>
      <w:r>
        <w:rPr>
          <w:rFonts w:hint="eastAsia" w:ascii="宋体" w:hAnsi="宋体" w:cs="宋体"/>
          <w:bCs/>
          <w:color w:val="000000"/>
          <w:sz w:val="24"/>
        </w:rPr>
        <w:t>（以下简称“乙方”）为该项目的中标供应商。</w:t>
      </w:r>
    </w:p>
    <w:p w14:paraId="613B1BA2">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依据《中华人民共和国民法典》和《中华人民共和国政府采购法》及相关法律法规，经双方协商按下述条款和条件签署本合同。</w:t>
      </w:r>
    </w:p>
    <w:p w14:paraId="690DAC66">
      <w:pPr>
        <w:spacing w:line="360" w:lineRule="auto"/>
        <w:rPr>
          <w:rFonts w:hint="eastAsia" w:ascii="宋体" w:hAnsi="宋体" w:cs="宋体"/>
          <w:b/>
          <w:color w:val="000000"/>
          <w:sz w:val="24"/>
        </w:rPr>
      </w:pPr>
      <w:r>
        <w:rPr>
          <w:rFonts w:hint="eastAsia" w:ascii="宋体" w:hAnsi="宋体" w:cs="宋体"/>
          <w:b/>
          <w:color w:val="000000"/>
          <w:sz w:val="24"/>
        </w:rPr>
        <w:t>一、合同内容：</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626"/>
        <w:gridCol w:w="1439"/>
        <w:gridCol w:w="1035"/>
        <w:gridCol w:w="1152"/>
        <w:gridCol w:w="1204"/>
        <w:gridCol w:w="1471"/>
      </w:tblGrid>
      <w:tr w14:paraId="0E75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 w:type="pct"/>
            <w:tcBorders>
              <w:top w:val="single" w:color="auto" w:sz="4" w:space="0"/>
              <w:left w:val="single" w:color="auto" w:sz="4" w:space="0"/>
              <w:bottom w:val="single" w:color="auto" w:sz="4" w:space="0"/>
              <w:right w:val="single" w:color="auto" w:sz="4" w:space="0"/>
            </w:tcBorders>
            <w:noWrap w:val="0"/>
            <w:vAlign w:val="center"/>
          </w:tcPr>
          <w:p w14:paraId="2286861B">
            <w:pPr>
              <w:jc w:val="center"/>
              <w:rPr>
                <w:sz w:val="24"/>
              </w:rPr>
            </w:pPr>
            <w:r>
              <w:rPr>
                <w:rFonts w:hint="eastAsia"/>
                <w:sz w:val="24"/>
              </w:rPr>
              <w:t>序号</w:t>
            </w:r>
          </w:p>
        </w:tc>
        <w:tc>
          <w:tcPr>
            <w:tcW w:w="954" w:type="pct"/>
            <w:tcBorders>
              <w:top w:val="single" w:color="auto" w:sz="4" w:space="0"/>
              <w:left w:val="single" w:color="auto" w:sz="4" w:space="0"/>
              <w:bottom w:val="single" w:color="auto" w:sz="4" w:space="0"/>
              <w:right w:val="single" w:color="auto" w:sz="4" w:space="0"/>
            </w:tcBorders>
            <w:noWrap w:val="0"/>
            <w:vAlign w:val="center"/>
          </w:tcPr>
          <w:p w14:paraId="1A4CD859">
            <w:pPr>
              <w:jc w:val="center"/>
              <w:rPr>
                <w:sz w:val="24"/>
              </w:rPr>
            </w:pPr>
            <w:r>
              <w:rPr>
                <w:rFonts w:hint="eastAsia"/>
                <w:sz w:val="24"/>
              </w:rPr>
              <w:t>物品名称</w:t>
            </w:r>
          </w:p>
        </w:tc>
        <w:tc>
          <w:tcPr>
            <w:tcW w:w="844" w:type="pct"/>
            <w:tcBorders>
              <w:top w:val="single" w:color="auto" w:sz="4" w:space="0"/>
              <w:left w:val="single" w:color="auto" w:sz="4" w:space="0"/>
              <w:bottom w:val="single" w:color="auto" w:sz="4" w:space="0"/>
              <w:right w:val="single" w:color="auto" w:sz="4" w:space="0"/>
            </w:tcBorders>
            <w:noWrap w:val="0"/>
            <w:vAlign w:val="center"/>
          </w:tcPr>
          <w:p w14:paraId="54D9712C">
            <w:pPr>
              <w:jc w:val="center"/>
              <w:rPr>
                <w:rFonts w:hint="eastAsia"/>
                <w:sz w:val="24"/>
              </w:rPr>
            </w:pPr>
            <w:r>
              <w:rPr>
                <w:rFonts w:hint="eastAsia"/>
                <w:sz w:val="24"/>
              </w:rPr>
              <w:t>制造厂商</w:t>
            </w:r>
          </w:p>
        </w:tc>
        <w:tc>
          <w:tcPr>
            <w:tcW w:w="607" w:type="pct"/>
            <w:tcBorders>
              <w:top w:val="single" w:color="auto" w:sz="4" w:space="0"/>
              <w:left w:val="single" w:color="auto" w:sz="4" w:space="0"/>
              <w:bottom w:val="single" w:color="auto" w:sz="4" w:space="0"/>
              <w:right w:val="single" w:color="auto" w:sz="4" w:space="0"/>
            </w:tcBorders>
            <w:noWrap w:val="0"/>
            <w:vAlign w:val="center"/>
          </w:tcPr>
          <w:p w14:paraId="4434539B">
            <w:pPr>
              <w:jc w:val="center"/>
              <w:rPr>
                <w:sz w:val="24"/>
              </w:rPr>
            </w:pPr>
            <w:r>
              <w:rPr>
                <w:rFonts w:hint="eastAsia"/>
                <w:sz w:val="24"/>
              </w:rPr>
              <w:t>规格</w:t>
            </w:r>
          </w:p>
        </w:tc>
        <w:tc>
          <w:tcPr>
            <w:tcW w:w="676" w:type="pct"/>
            <w:tcBorders>
              <w:top w:val="single" w:color="auto" w:sz="4" w:space="0"/>
              <w:left w:val="single" w:color="auto" w:sz="4" w:space="0"/>
              <w:right w:val="single" w:color="auto" w:sz="4" w:space="0"/>
            </w:tcBorders>
            <w:noWrap w:val="0"/>
            <w:vAlign w:val="center"/>
          </w:tcPr>
          <w:p w14:paraId="3096375D">
            <w:pPr>
              <w:jc w:val="center"/>
              <w:rPr>
                <w:rFonts w:hint="eastAsia"/>
                <w:sz w:val="24"/>
              </w:rPr>
            </w:pPr>
            <w:r>
              <w:rPr>
                <w:rFonts w:hint="eastAsia"/>
                <w:sz w:val="24"/>
              </w:rPr>
              <w:t>单价（元）</w:t>
            </w:r>
          </w:p>
        </w:tc>
        <w:tc>
          <w:tcPr>
            <w:tcW w:w="706" w:type="pct"/>
            <w:tcBorders>
              <w:top w:val="single" w:color="auto" w:sz="4" w:space="0"/>
              <w:left w:val="single" w:color="auto" w:sz="4" w:space="0"/>
              <w:right w:val="single" w:color="auto" w:sz="4" w:space="0"/>
            </w:tcBorders>
            <w:noWrap w:val="0"/>
            <w:vAlign w:val="center"/>
          </w:tcPr>
          <w:p w14:paraId="1403F306">
            <w:pPr>
              <w:jc w:val="center"/>
              <w:rPr>
                <w:sz w:val="24"/>
              </w:rPr>
            </w:pPr>
            <w:r>
              <w:rPr>
                <w:rFonts w:hint="eastAsia"/>
                <w:sz w:val="24"/>
              </w:rPr>
              <w:t>数量（套）</w:t>
            </w:r>
          </w:p>
        </w:tc>
        <w:tc>
          <w:tcPr>
            <w:tcW w:w="863" w:type="pct"/>
            <w:tcBorders>
              <w:top w:val="single" w:color="auto" w:sz="4" w:space="0"/>
              <w:left w:val="single" w:color="auto" w:sz="4" w:space="0"/>
              <w:bottom w:val="single" w:color="auto" w:sz="4" w:space="0"/>
              <w:right w:val="single" w:color="auto" w:sz="4" w:space="0"/>
            </w:tcBorders>
            <w:noWrap w:val="0"/>
            <w:vAlign w:val="center"/>
          </w:tcPr>
          <w:p w14:paraId="58EFF4A4">
            <w:pPr>
              <w:jc w:val="center"/>
              <w:rPr>
                <w:sz w:val="24"/>
              </w:rPr>
            </w:pPr>
            <w:r>
              <w:rPr>
                <w:rFonts w:hint="eastAsia"/>
                <w:sz w:val="24"/>
              </w:rPr>
              <w:t>合计（元）</w:t>
            </w:r>
          </w:p>
        </w:tc>
      </w:tr>
      <w:tr w14:paraId="3AD8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7" w:type="pct"/>
            <w:tcBorders>
              <w:top w:val="single" w:color="auto" w:sz="4" w:space="0"/>
              <w:left w:val="single" w:color="auto" w:sz="4" w:space="0"/>
              <w:bottom w:val="single" w:color="auto" w:sz="4" w:space="0"/>
              <w:right w:val="single" w:color="auto" w:sz="4" w:space="0"/>
            </w:tcBorders>
            <w:noWrap w:val="0"/>
            <w:vAlign w:val="center"/>
          </w:tcPr>
          <w:p w14:paraId="4FE14DFC">
            <w:pPr>
              <w:jc w:val="center"/>
              <w:rPr>
                <w:sz w:val="24"/>
              </w:rPr>
            </w:pPr>
            <w:r>
              <w:rPr>
                <w:rFonts w:hint="eastAsia"/>
                <w:sz w:val="24"/>
              </w:rPr>
              <w:t>1</w:t>
            </w:r>
          </w:p>
        </w:tc>
        <w:tc>
          <w:tcPr>
            <w:tcW w:w="954" w:type="pct"/>
            <w:tcBorders>
              <w:top w:val="single" w:color="auto" w:sz="4" w:space="0"/>
              <w:left w:val="single" w:color="auto" w:sz="4" w:space="0"/>
              <w:bottom w:val="single" w:color="auto" w:sz="4" w:space="0"/>
              <w:right w:val="single" w:color="auto" w:sz="4" w:space="0"/>
            </w:tcBorders>
            <w:noWrap w:val="0"/>
            <w:vAlign w:val="center"/>
          </w:tcPr>
          <w:p w14:paraId="608B9A32">
            <w:pPr>
              <w:jc w:val="center"/>
              <w:rPr>
                <w:rFonts w:hint="eastAsia"/>
                <w:sz w:val="24"/>
              </w:rPr>
            </w:pPr>
          </w:p>
        </w:tc>
        <w:tc>
          <w:tcPr>
            <w:tcW w:w="844" w:type="pct"/>
            <w:tcBorders>
              <w:top w:val="single" w:color="auto" w:sz="4" w:space="0"/>
              <w:left w:val="single" w:color="auto" w:sz="4" w:space="0"/>
              <w:bottom w:val="single" w:color="auto" w:sz="4" w:space="0"/>
              <w:right w:val="single" w:color="auto" w:sz="4" w:space="0"/>
            </w:tcBorders>
            <w:noWrap w:val="0"/>
            <w:vAlign w:val="center"/>
          </w:tcPr>
          <w:p w14:paraId="2C60324A">
            <w:pPr>
              <w:jc w:val="center"/>
              <w:rPr>
                <w:rFonts w:hint="eastAsia"/>
                <w:sz w:val="24"/>
              </w:rPr>
            </w:pPr>
          </w:p>
        </w:tc>
        <w:tc>
          <w:tcPr>
            <w:tcW w:w="607" w:type="pct"/>
            <w:tcBorders>
              <w:top w:val="single" w:color="auto" w:sz="4" w:space="0"/>
              <w:left w:val="single" w:color="auto" w:sz="4" w:space="0"/>
              <w:bottom w:val="single" w:color="auto" w:sz="4" w:space="0"/>
              <w:right w:val="single" w:color="auto" w:sz="4" w:space="0"/>
            </w:tcBorders>
            <w:noWrap w:val="0"/>
            <w:vAlign w:val="center"/>
          </w:tcPr>
          <w:p w14:paraId="2C8008C8">
            <w:pPr>
              <w:jc w:val="center"/>
              <w:rPr>
                <w:rFonts w:hint="eastAsia"/>
                <w:sz w:val="24"/>
              </w:rPr>
            </w:pPr>
          </w:p>
        </w:tc>
        <w:tc>
          <w:tcPr>
            <w:tcW w:w="676" w:type="pct"/>
            <w:tcBorders>
              <w:left w:val="single" w:color="auto" w:sz="4" w:space="0"/>
              <w:right w:val="single" w:color="auto" w:sz="4" w:space="0"/>
            </w:tcBorders>
            <w:noWrap w:val="0"/>
            <w:vAlign w:val="center"/>
          </w:tcPr>
          <w:p w14:paraId="409EB695">
            <w:pPr>
              <w:jc w:val="center"/>
              <w:rPr>
                <w:rFonts w:hint="eastAsia"/>
                <w:sz w:val="24"/>
              </w:rPr>
            </w:pPr>
          </w:p>
        </w:tc>
        <w:tc>
          <w:tcPr>
            <w:tcW w:w="706" w:type="pct"/>
            <w:tcBorders>
              <w:left w:val="single" w:color="auto" w:sz="4" w:space="0"/>
              <w:right w:val="single" w:color="auto" w:sz="4" w:space="0"/>
            </w:tcBorders>
            <w:noWrap w:val="0"/>
            <w:vAlign w:val="center"/>
          </w:tcPr>
          <w:p w14:paraId="60A17BAE">
            <w:pPr>
              <w:jc w:val="center"/>
              <w:rPr>
                <w:rFonts w:hint="eastAsia"/>
                <w:sz w:val="24"/>
              </w:rPr>
            </w:pPr>
          </w:p>
        </w:tc>
        <w:tc>
          <w:tcPr>
            <w:tcW w:w="863" w:type="pct"/>
            <w:tcBorders>
              <w:top w:val="single" w:color="auto" w:sz="4" w:space="0"/>
              <w:left w:val="single" w:color="auto" w:sz="4" w:space="0"/>
              <w:bottom w:val="single" w:color="auto" w:sz="4" w:space="0"/>
              <w:right w:val="single" w:color="auto" w:sz="4" w:space="0"/>
            </w:tcBorders>
            <w:noWrap w:val="0"/>
            <w:vAlign w:val="center"/>
          </w:tcPr>
          <w:p w14:paraId="482BD314">
            <w:pPr>
              <w:jc w:val="center"/>
              <w:rPr>
                <w:rFonts w:hint="eastAsia"/>
                <w:sz w:val="24"/>
              </w:rPr>
            </w:pPr>
          </w:p>
        </w:tc>
      </w:tr>
      <w:tr w14:paraId="3301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7" w:type="pct"/>
            <w:tcBorders>
              <w:top w:val="single" w:color="auto" w:sz="4" w:space="0"/>
              <w:left w:val="single" w:color="auto" w:sz="4" w:space="0"/>
              <w:bottom w:val="single" w:color="auto" w:sz="4" w:space="0"/>
              <w:right w:val="single" w:color="auto" w:sz="4" w:space="0"/>
            </w:tcBorders>
            <w:noWrap w:val="0"/>
            <w:vAlign w:val="center"/>
          </w:tcPr>
          <w:p w14:paraId="6DF40302">
            <w:pPr>
              <w:jc w:val="center"/>
              <w:rPr>
                <w:rFonts w:hint="eastAsia"/>
                <w:sz w:val="24"/>
              </w:rPr>
            </w:pPr>
            <w:r>
              <w:rPr>
                <w:rFonts w:hint="eastAsia"/>
                <w:sz w:val="24"/>
              </w:rPr>
              <w:t>2</w:t>
            </w:r>
          </w:p>
        </w:tc>
        <w:tc>
          <w:tcPr>
            <w:tcW w:w="954" w:type="pct"/>
            <w:tcBorders>
              <w:top w:val="single" w:color="auto" w:sz="4" w:space="0"/>
              <w:left w:val="single" w:color="auto" w:sz="4" w:space="0"/>
              <w:bottom w:val="single" w:color="auto" w:sz="4" w:space="0"/>
              <w:right w:val="single" w:color="auto" w:sz="4" w:space="0"/>
            </w:tcBorders>
            <w:noWrap w:val="0"/>
            <w:vAlign w:val="center"/>
          </w:tcPr>
          <w:p w14:paraId="6DE29622">
            <w:pPr>
              <w:jc w:val="center"/>
              <w:rPr>
                <w:rFonts w:hint="eastAsia"/>
                <w:sz w:val="24"/>
              </w:rPr>
            </w:pPr>
          </w:p>
        </w:tc>
        <w:tc>
          <w:tcPr>
            <w:tcW w:w="844" w:type="pct"/>
            <w:tcBorders>
              <w:top w:val="single" w:color="auto" w:sz="4" w:space="0"/>
              <w:left w:val="single" w:color="auto" w:sz="4" w:space="0"/>
              <w:bottom w:val="single" w:color="auto" w:sz="4" w:space="0"/>
              <w:right w:val="single" w:color="auto" w:sz="4" w:space="0"/>
            </w:tcBorders>
            <w:noWrap w:val="0"/>
            <w:vAlign w:val="center"/>
          </w:tcPr>
          <w:p w14:paraId="429472E6">
            <w:pPr>
              <w:jc w:val="center"/>
              <w:rPr>
                <w:rFonts w:hint="eastAsia"/>
                <w:sz w:val="24"/>
              </w:rPr>
            </w:pPr>
          </w:p>
        </w:tc>
        <w:tc>
          <w:tcPr>
            <w:tcW w:w="607" w:type="pct"/>
            <w:tcBorders>
              <w:top w:val="single" w:color="auto" w:sz="4" w:space="0"/>
              <w:left w:val="single" w:color="auto" w:sz="4" w:space="0"/>
              <w:bottom w:val="single" w:color="auto" w:sz="4" w:space="0"/>
              <w:right w:val="single" w:color="auto" w:sz="4" w:space="0"/>
            </w:tcBorders>
            <w:noWrap w:val="0"/>
            <w:vAlign w:val="center"/>
          </w:tcPr>
          <w:p w14:paraId="1AEAA217">
            <w:pPr>
              <w:jc w:val="center"/>
              <w:rPr>
                <w:rFonts w:hint="eastAsia"/>
                <w:sz w:val="24"/>
              </w:rPr>
            </w:pPr>
          </w:p>
        </w:tc>
        <w:tc>
          <w:tcPr>
            <w:tcW w:w="676" w:type="pct"/>
            <w:tcBorders>
              <w:left w:val="single" w:color="auto" w:sz="4" w:space="0"/>
              <w:right w:val="single" w:color="auto" w:sz="4" w:space="0"/>
            </w:tcBorders>
            <w:noWrap w:val="0"/>
            <w:vAlign w:val="center"/>
          </w:tcPr>
          <w:p w14:paraId="1AF4FDC8">
            <w:pPr>
              <w:jc w:val="center"/>
              <w:rPr>
                <w:rFonts w:hint="eastAsia"/>
                <w:sz w:val="24"/>
              </w:rPr>
            </w:pPr>
          </w:p>
        </w:tc>
        <w:tc>
          <w:tcPr>
            <w:tcW w:w="706" w:type="pct"/>
            <w:tcBorders>
              <w:left w:val="single" w:color="auto" w:sz="4" w:space="0"/>
              <w:right w:val="single" w:color="auto" w:sz="4" w:space="0"/>
            </w:tcBorders>
            <w:noWrap w:val="0"/>
            <w:vAlign w:val="center"/>
          </w:tcPr>
          <w:p w14:paraId="7D41AF4D">
            <w:pPr>
              <w:jc w:val="center"/>
              <w:rPr>
                <w:rFonts w:hint="eastAsia"/>
                <w:sz w:val="24"/>
              </w:rPr>
            </w:pPr>
          </w:p>
        </w:tc>
        <w:tc>
          <w:tcPr>
            <w:tcW w:w="863" w:type="pct"/>
            <w:tcBorders>
              <w:top w:val="single" w:color="auto" w:sz="4" w:space="0"/>
              <w:left w:val="single" w:color="auto" w:sz="4" w:space="0"/>
              <w:bottom w:val="single" w:color="auto" w:sz="4" w:space="0"/>
              <w:right w:val="single" w:color="auto" w:sz="4" w:space="0"/>
            </w:tcBorders>
            <w:noWrap w:val="0"/>
            <w:vAlign w:val="center"/>
          </w:tcPr>
          <w:p w14:paraId="041419A1">
            <w:pPr>
              <w:jc w:val="center"/>
              <w:rPr>
                <w:rFonts w:hint="eastAsia"/>
                <w:sz w:val="24"/>
              </w:rPr>
            </w:pPr>
          </w:p>
        </w:tc>
      </w:tr>
      <w:tr w14:paraId="5F32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7" w:type="pct"/>
            <w:tcBorders>
              <w:top w:val="single" w:color="auto" w:sz="4" w:space="0"/>
              <w:left w:val="single" w:color="auto" w:sz="4" w:space="0"/>
              <w:bottom w:val="single" w:color="auto" w:sz="4" w:space="0"/>
              <w:right w:val="single" w:color="auto" w:sz="4" w:space="0"/>
            </w:tcBorders>
            <w:noWrap w:val="0"/>
            <w:vAlign w:val="center"/>
          </w:tcPr>
          <w:p w14:paraId="6A9DE058">
            <w:pPr>
              <w:jc w:val="center"/>
              <w:rPr>
                <w:sz w:val="24"/>
              </w:rPr>
            </w:pPr>
            <w:r>
              <w:rPr>
                <w:rFonts w:hint="eastAsia"/>
                <w:sz w:val="24"/>
              </w:rPr>
              <w:t>3</w:t>
            </w:r>
          </w:p>
        </w:tc>
        <w:tc>
          <w:tcPr>
            <w:tcW w:w="954" w:type="pct"/>
            <w:tcBorders>
              <w:top w:val="single" w:color="auto" w:sz="4" w:space="0"/>
              <w:left w:val="single" w:color="auto" w:sz="4" w:space="0"/>
              <w:bottom w:val="single" w:color="auto" w:sz="4" w:space="0"/>
              <w:right w:val="single" w:color="auto" w:sz="4" w:space="0"/>
            </w:tcBorders>
            <w:noWrap w:val="0"/>
            <w:vAlign w:val="center"/>
          </w:tcPr>
          <w:p w14:paraId="6FEDB9C3">
            <w:pPr>
              <w:jc w:val="center"/>
              <w:rPr>
                <w:rFonts w:hint="eastAsia"/>
                <w:sz w:val="24"/>
              </w:rPr>
            </w:pPr>
          </w:p>
        </w:tc>
        <w:tc>
          <w:tcPr>
            <w:tcW w:w="844" w:type="pct"/>
            <w:tcBorders>
              <w:top w:val="single" w:color="auto" w:sz="4" w:space="0"/>
              <w:left w:val="single" w:color="auto" w:sz="4" w:space="0"/>
              <w:bottom w:val="single" w:color="auto" w:sz="4" w:space="0"/>
              <w:right w:val="single" w:color="auto" w:sz="4" w:space="0"/>
            </w:tcBorders>
            <w:noWrap w:val="0"/>
            <w:vAlign w:val="center"/>
          </w:tcPr>
          <w:p w14:paraId="4B122CD9">
            <w:pPr>
              <w:jc w:val="center"/>
              <w:rPr>
                <w:rFonts w:hint="eastAsia"/>
                <w:sz w:val="24"/>
              </w:rPr>
            </w:pPr>
          </w:p>
        </w:tc>
        <w:tc>
          <w:tcPr>
            <w:tcW w:w="607" w:type="pct"/>
            <w:tcBorders>
              <w:top w:val="single" w:color="auto" w:sz="4" w:space="0"/>
              <w:left w:val="single" w:color="auto" w:sz="4" w:space="0"/>
              <w:bottom w:val="single" w:color="auto" w:sz="4" w:space="0"/>
              <w:right w:val="single" w:color="auto" w:sz="4" w:space="0"/>
            </w:tcBorders>
            <w:noWrap w:val="0"/>
            <w:vAlign w:val="center"/>
          </w:tcPr>
          <w:p w14:paraId="020E0DF8">
            <w:pPr>
              <w:jc w:val="center"/>
              <w:rPr>
                <w:rFonts w:hint="eastAsia"/>
                <w:sz w:val="24"/>
              </w:rPr>
            </w:pPr>
          </w:p>
        </w:tc>
        <w:tc>
          <w:tcPr>
            <w:tcW w:w="676" w:type="pct"/>
            <w:tcBorders>
              <w:left w:val="single" w:color="auto" w:sz="4" w:space="0"/>
              <w:bottom w:val="single" w:color="auto" w:sz="4" w:space="0"/>
              <w:right w:val="single" w:color="auto" w:sz="4" w:space="0"/>
            </w:tcBorders>
            <w:noWrap w:val="0"/>
            <w:vAlign w:val="center"/>
          </w:tcPr>
          <w:p w14:paraId="409FAA6D">
            <w:pPr>
              <w:jc w:val="center"/>
              <w:rPr>
                <w:rFonts w:hint="eastAsia"/>
                <w:sz w:val="24"/>
              </w:rPr>
            </w:pPr>
          </w:p>
        </w:tc>
        <w:tc>
          <w:tcPr>
            <w:tcW w:w="706" w:type="pct"/>
            <w:tcBorders>
              <w:left w:val="single" w:color="auto" w:sz="4" w:space="0"/>
              <w:bottom w:val="single" w:color="auto" w:sz="4" w:space="0"/>
              <w:right w:val="single" w:color="auto" w:sz="4" w:space="0"/>
            </w:tcBorders>
            <w:noWrap w:val="0"/>
            <w:vAlign w:val="center"/>
          </w:tcPr>
          <w:p w14:paraId="1A42AA67">
            <w:pPr>
              <w:jc w:val="center"/>
              <w:rPr>
                <w:rFonts w:hint="eastAsia"/>
                <w:sz w:val="24"/>
              </w:rPr>
            </w:pPr>
          </w:p>
        </w:tc>
        <w:tc>
          <w:tcPr>
            <w:tcW w:w="863" w:type="pct"/>
            <w:tcBorders>
              <w:top w:val="single" w:color="auto" w:sz="4" w:space="0"/>
              <w:left w:val="single" w:color="auto" w:sz="4" w:space="0"/>
              <w:bottom w:val="single" w:color="auto" w:sz="4" w:space="0"/>
              <w:right w:val="single" w:color="auto" w:sz="4" w:space="0"/>
            </w:tcBorders>
            <w:noWrap w:val="0"/>
            <w:vAlign w:val="center"/>
          </w:tcPr>
          <w:p w14:paraId="3592C338">
            <w:pPr>
              <w:jc w:val="center"/>
              <w:rPr>
                <w:rFonts w:hint="eastAsia"/>
                <w:sz w:val="24"/>
              </w:rPr>
            </w:pPr>
          </w:p>
        </w:tc>
      </w:tr>
    </w:tbl>
    <w:p w14:paraId="69258AC4">
      <w:pPr>
        <w:spacing w:line="360" w:lineRule="auto"/>
        <w:rPr>
          <w:rFonts w:hint="eastAsia" w:ascii="宋体" w:hAnsi="宋体" w:cs="宋体"/>
          <w:bCs/>
          <w:color w:val="000000"/>
          <w:sz w:val="24"/>
        </w:rPr>
      </w:pPr>
      <w:r>
        <w:rPr>
          <w:rFonts w:hint="eastAsia" w:ascii="宋体" w:hAnsi="宋体" w:cs="宋体"/>
          <w:bCs/>
          <w:color w:val="000000"/>
          <w:sz w:val="24"/>
        </w:rPr>
        <w:tab/>
      </w:r>
      <w:r>
        <w:rPr>
          <w:rFonts w:hint="eastAsia" w:ascii="宋体" w:hAnsi="宋体" w:cs="宋体"/>
          <w:bCs/>
          <w:color w:val="000000"/>
          <w:sz w:val="24"/>
        </w:rPr>
        <w:tab/>
      </w:r>
    </w:p>
    <w:p w14:paraId="39A21697">
      <w:pPr>
        <w:spacing w:line="360" w:lineRule="auto"/>
        <w:rPr>
          <w:rFonts w:hint="eastAsia" w:ascii="宋体" w:hAnsi="宋体" w:cs="宋体"/>
          <w:b/>
          <w:color w:val="000000"/>
          <w:sz w:val="24"/>
        </w:rPr>
      </w:pPr>
      <w:r>
        <w:rPr>
          <w:rFonts w:hint="eastAsia" w:ascii="宋体" w:hAnsi="宋体" w:cs="宋体"/>
          <w:b/>
          <w:color w:val="000000"/>
          <w:sz w:val="24"/>
        </w:rPr>
        <w:t>二、合同价款</w:t>
      </w:r>
    </w:p>
    <w:p w14:paraId="64ACBA5F">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1．合同总价：人民币</w:t>
      </w:r>
      <w:r>
        <w:rPr>
          <w:rFonts w:hint="eastAsia" w:ascii="宋体" w:hAnsi="宋体" w:cs="宋体"/>
          <w:bCs/>
          <w:color w:val="000000"/>
          <w:sz w:val="24"/>
          <w:u w:val="single"/>
        </w:rPr>
        <w:t xml:space="preserve">                  </w:t>
      </w:r>
      <w:r>
        <w:rPr>
          <w:rFonts w:hint="eastAsia" w:ascii="宋体" w:hAnsi="宋体" w:cs="宋体"/>
          <w:bCs/>
          <w:color w:val="000000"/>
          <w:sz w:val="24"/>
        </w:rPr>
        <w:t>元整 （￥0.00元）。</w:t>
      </w:r>
    </w:p>
    <w:p w14:paraId="5AB6691D">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2．合同价包括：税费、培训费、产品费、运杂费及其它相关的费用。</w:t>
      </w:r>
    </w:p>
    <w:p w14:paraId="789BBC48">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3．合同单价一次包死，不受市场价变化的影响。最终付款总价以甲方实际使用数量为准。</w:t>
      </w:r>
    </w:p>
    <w:p w14:paraId="14F7CA19">
      <w:pPr>
        <w:spacing w:line="360" w:lineRule="auto"/>
        <w:rPr>
          <w:rFonts w:hint="eastAsia" w:ascii="宋体" w:hAnsi="宋体" w:cs="宋体"/>
          <w:b/>
          <w:color w:val="000000"/>
          <w:sz w:val="24"/>
        </w:rPr>
      </w:pPr>
      <w:r>
        <w:rPr>
          <w:rFonts w:hint="eastAsia" w:ascii="宋体" w:hAnsi="宋体" w:cs="宋体"/>
          <w:b/>
          <w:color w:val="000000"/>
          <w:sz w:val="24"/>
        </w:rPr>
        <w:t>三、合同结算</w:t>
      </w:r>
    </w:p>
    <w:p w14:paraId="2CD048E2">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1．付款方式：</w:t>
      </w:r>
      <w:r>
        <w:rPr>
          <w:rFonts w:hint="eastAsia" w:ascii="宋体" w:hAnsi="宋体" w:cs="宋体"/>
          <w:bCs/>
          <w:color w:val="000000"/>
          <w:sz w:val="24"/>
          <w:highlight w:val="none"/>
          <w:u w:val="single"/>
        </w:rPr>
        <w:t>银行转账。由采购人负责结算，供应商必须开具全额发票给采购人，并附详细清单和验收单。</w:t>
      </w:r>
    </w:p>
    <w:p w14:paraId="1C73552B">
      <w:pPr>
        <w:spacing w:line="360" w:lineRule="auto"/>
        <w:ind w:firstLine="480" w:firstLineChars="200"/>
        <w:rPr>
          <w:rFonts w:hint="eastAsia" w:ascii="宋体" w:hAnsi="宋体" w:eastAsia="宋体" w:cs="宋体"/>
          <w:bCs/>
          <w:color w:val="000000"/>
          <w:sz w:val="24"/>
          <w:highlight w:val="none"/>
          <w:u w:val="single"/>
          <w:lang w:val="en-US" w:eastAsia="zh-CN"/>
        </w:rPr>
      </w:pPr>
      <w:r>
        <w:rPr>
          <w:rFonts w:hint="eastAsia" w:ascii="宋体" w:hAnsi="宋体" w:eastAsia="宋体" w:cs="宋体"/>
          <w:bCs/>
          <w:color w:val="000000"/>
          <w:sz w:val="24"/>
          <w:highlight w:val="none"/>
        </w:rPr>
        <w:t>2．结算方式：</w:t>
      </w:r>
      <w:r>
        <w:rPr>
          <w:rFonts w:hint="eastAsia" w:ascii="宋体" w:hAnsi="宋体" w:eastAsia="宋体" w:cs="宋体"/>
          <w:bCs/>
          <w:color w:val="000000"/>
          <w:sz w:val="24"/>
          <w:highlight w:val="none"/>
          <w:u w:val="single"/>
        </w:rPr>
        <w:t>采购包1：付款条件说明：</w:t>
      </w:r>
      <w:r>
        <w:rPr>
          <w:rFonts w:hint="default" w:ascii="宋体" w:hAnsi="宋体" w:eastAsia="宋体" w:cs="宋体"/>
          <w:bCs/>
          <w:color w:val="000000"/>
          <w:sz w:val="24"/>
          <w:highlight w:val="none"/>
          <w:u w:val="single"/>
          <w:lang w:val="en-US" w:eastAsia="zh-CN"/>
        </w:rPr>
        <w:t>①</w:t>
      </w:r>
      <w:r>
        <w:rPr>
          <w:rFonts w:hint="eastAsia" w:ascii="宋体" w:hAnsi="宋体" w:eastAsia="宋体" w:cs="宋体"/>
          <w:bCs/>
          <w:color w:val="000000"/>
          <w:sz w:val="24"/>
          <w:highlight w:val="none"/>
          <w:u w:val="single"/>
          <w:lang w:val="en-US" w:eastAsia="zh-CN"/>
        </w:rPr>
        <w:t>进度款，合同签订后，乙方按照合同约定的物资数量供应到甲方指定地点并经甲方验收合格后，同时在收到乙方提供的市级及市级以上质检部门出具的该批物资的质检报告、合格证、送货收条、全额货款票据等凭证资料后，达到付款条件起10个工作日内，支付合同总金额的97.0%；</w:t>
      </w:r>
      <w:r>
        <w:rPr>
          <w:rFonts w:hint="default" w:ascii="宋体" w:hAnsi="宋体" w:eastAsia="宋体" w:cs="宋体"/>
          <w:bCs/>
          <w:color w:val="000000"/>
          <w:sz w:val="24"/>
          <w:highlight w:val="none"/>
          <w:u w:val="single"/>
          <w:lang w:val="en-US" w:eastAsia="zh-CN"/>
        </w:rPr>
        <w:t>②</w:t>
      </w:r>
      <w:r>
        <w:rPr>
          <w:rFonts w:hint="eastAsia" w:ascii="宋体" w:hAnsi="宋体" w:eastAsia="宋体" w:cs="宋体"/>
          <w:bCs/>
          <w:color w:val="000000"/>
          <w:sz w:val="24"/>
          <w:highlight w:val="none"/>
          <w:u w:val="single"/>
          <w:lang w:val="en-US" w:eastAsia="zh-CN"/>
        </w:rPr>
        <w:t>质保期满，达到付款条件起10个工作日内，支付合同总金额的3.0%。</w:t>
      </w:r>
    </w:p>
    <w:p w14:paraId="5F53EE1D">
      <w:pPr>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u w:val="single"/>
        </w:rPr>
        <w:t>采购包</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：付款条件说明：</w:t>
      </w:r>
      <w:r>
        <w:rPr>
          <w:rFonts w:hint="default" w:ascii="宋体" w:hAnsi="宋体" w:eastAsia="宋体" w:cs="宋体"/>
          <w:bCs/>
          <w:color w:val="000000"/>
          <w:sz w:val="24"/>
          <w:highlight w:val="none"/>
          <w:u w:val="single"/>
          <w:lang w:val="en-US" w:eastAsia="zh-CN"/>
        </w:rPr>
        <w:t>①</w:t>
      </w:r>
      <w:r>
        <w:rPr>
          <w:rFonts w:hint="eastAsia" w:ascii="宋体" w:hAnsi="宋体" w:eastAsia="宋体" w:cs="宋体"/>
          <w:bCs/>
          <w:color w:val="000000"/>
          <w:sz w:val="24"/>
          <w:highlight w:val="none"/>
          <w:u w:val="single"/>
        </w:rPr>
        <w:t>进度款，合同签订后，</w:t>
      </w:r>
      <w:r>
        <w:rPr>
          <w:rFonts w:hint="eastAsia" w:ascii="宋体" w:hAnsi="宋体" w:eastAsia="宋体" w:cs="宋体"/>
          <w:bCs/>
          <w:color w:val="000000"/>
          <w:sz w:val="24"/>
          <w:highlight w:val="none"/>
          <w:u w:val="single"/>
          <w:lang w:val="en-US" w:eastAsia="zh-CN"/>
        </w:rPr>
        <w:t>乙方按照合同约定的物资数量供应到甲方指定地点并经甲方验收合格后，同时在收到乙方提供的市级及市级以上质检部门出具的该批物资的质检报告、合格证、送货收条等凭证资料后，</w:t>
      </w:r>
      <w:r>
        <w:rPr>
          <w:rFonts w:hint="eastAsia" w:ascii="宋体" w:hAnsi="宋体" w:eastAsia="宋体" w:cs="宋体"/>
          <w:bCs/>
          <w:color w:val="000000"/>
          <w:sz w:val="24"/>
          <w:highlight w:val="none"/>
          <w:u w:val="single"/>
        </w:rPr>
        <w:t>达到付款条件起</w:t>
      </w:r>
      <w:r>
        <w:rPr>
          <w:rFonts w:hint="eastAsia" w:ascii="宋体" w:hAnsi="宋体" w:eastAsia="宋体" w:cs="宋体"/>
          <w:bCs/>
          <w:color w:val="000000"/>
          <w:sz w:val="24"/>
          <w:highlight w:val="none"/>
          <w:u w:val="single"/>
          <w:lang w:val="en-US" w:eastAsia="zh-CN"/>
        </w:rPr>
        <w:t>10</w:t>
      </w:r>
      <w:r>
        <w:rPr>
          <w:rFonts w:hint="eastAsia" w:ascii="宋体" w:hAnsi="宋体" w:eastAsia="宋体" w:cs="宋体"/>
          <w:bCs/>
          <w:color w:val="000000"/>
          <w:sz w:val="24"/>
          <w:highlight w:val="none"/>
          <w:u w:val="single"/>
        </w:rPr>
        <w:t>个工作日内，支付合同总金额的</w:t>
      </w:r>
      <w:r>
        <w:rPr>
          <w:rFonts w:hint="eastAsia" w:ascii="宋体" w:hAnsi="宋体" w:eastAsia="宋体" w:cs="宋体"/>
          <w:bCs/>
          <w:color w:val="000000"/>
          <w:sz w:val="24"/>
          <w:highlight w:val="none"/>
          <w:u w:val="single"/>
          <w:lang w:val="en-US" w:eastAsia="zh-CN"/>
        </w:rPr>
        <w:t>8</w:t>
      </w:r>
      <w:r>
        <w:rPr>
          <w:rFonts w:hint="eastAsia" w:ascii="宋体" w:hAnsi="宋体" w:eastAsia="宋体" w:cs="宋体"/>
          <w:bCs/>
          <w:color w:val="000000"/>
          <w:sz w:val="24"/>
          <w:highlight w:val="none"/>
          <w:u w:val="single"/>
        </w:rPr>
        <w:t>0.0%</w:t>
      </w:r>
      <w:r>
        <w:rPr>
          <w:rFonts w:hint="eastAsia" w:ascii="宋体" w:hAnsi="宋体" w:eastAsia="宋体" w:cs="宋体"/>
          <w:bCs/>
          <w:color w:val="000000"/>
          <w:sz w:val="24"/>
          <w:highlight w:val="none"/>
          <w:u w:val="single"/>
          <w:lang w:eastAsia="zh-CN"/>
        </w:rPr>
        <w:t>；</w:t>
      </w:r>
      <w:r>
        <w:rPr>
          <w:rFonts w:hint="eastAsia" w:ascii="宋体" w:hAnsi="宋体" w:eastAsia="宋体" w:cs="宋体"/>
          <w:bCs/>
          <w:color w:val="000000"/>
          <w:sz w:val="24"/>
          <w:highlight w:val="none"/>
          <w:u w:val="single"/>
          <w:lang w:val="en-US" w:eastAsia="zh-CN"/>
        </w:rPr>
        <w:t>②</w:t>
      </w:r>
      <w:r>
        <w:rPr>
          <w:rFonts w:hint="eastAsia" w:ascii="宋体" w:hAnsi="宋体" w:eastAsia="宋体" w:cs="宋体"/>
          <w:bCs/>
          <w:color w:val="000000"/>
          <w:sz w:val="24"/>
          <w:highlight w:val="none"/>
          <w:u w:val="single"/>
        </w:rPr>
        <w:t>进度款，项目完工且验收合格，达到付款条件起10个工作日内，支付</w:t>
      </w:r>
      <w:r>
        <w:rPr>
          <w:rFonts w:hint="eastAsia" w:ascii="宋体" w:hAnsi="宋体" w:eastAsia="宋体" w:cs="宋体"/>
          <w:bCs/>
          <w:color w:val="000000"/>
          <w:sz w:val="24"/>
          <w:highlight w:val="none"/>
          <w:u w:val="single"/>
          <w:lang w:val="en-US" w:eastAsia="zh-CN"/>
        </w:rPr>
        <w:t>到</w:t>
      </w:r>
      <w:r>
        <w:rPr>
          <w:rFonts w:hint="eastAsia" w:ascii="宋体" w:hAnsi="宋体" w:eastAsia="宋体" w:cs="宋体"/>
          <w:bCs/>
          <w:color w:val="000000"/>
          <w:sz w:val="24"/>
          <w:highlight w:val="none"/>
          <w:u w:val="single"/>
        </w:rPr>
        <w:t>合同总金额的</w:t>
      </w:r>
      <w:r>
        <w:rPr>
          <w:rFonts w:hint="eastAsia" w:ascii="宋体" w:hAnsi="宋体" w:eastAsia="宋体" w:cs="宋体"/>
          <w:bCs/>
          <w:color w:val="000000"/>
          <w:sz w:val="24"/>
          <w:highlight w:val="none"/>
          <w:u w:val="single"/>
          <w:lang w:val="en-US" w:eastAsia="zh-CN"/>
        </w:rPr>
        <w:t>97</w:t>
      </w:r>
      <w:r>
        <w:rPr>
          <w:rFonts w:hint="eastAsia" w:ascii="宋体" w:hAnsi="宋体" w:eastAsia="宋体" w:cs="宋体"/>
          <w:bCs/>
          <w:color w:val="000000"/>
          <w:sz w:val="24"/>
          <w:highlight w:val="none"/>
          <w:u w:val="single"/>
        </w:rPr>
        <w:t>.0%</w:t>
      </w:r>
      <w:r>
        <w:rPr>
          <w:rFonts w:hint="eastAsia" w:ascii="宋体" w:hAnsi="宋体" w:eastAsia="宋体" w:cs="宋体"/>
          <w:bCs/>
          <w:color w:val="000000"/>
          <w:sz w:val="24"/>
          <w:highlight w:val="none"/>
          <w:u w:val="single"/>
          <w:lang w:eastAsia="zh-CN"/>
        </w:rPr>
        <w:t>；</w:t>
      </w:r>
      <w:r>
        <w:rPr>
          <w:rFonts w:hint="eastAsia" w:ascii="宋体" w:hAnsi="宋体" w:eastAsia="宋体" w:cs="宋体"/>
          <w:bCs/>
          <w:color w:val="000000"/>
          <w:sz w:val="24"/>
          <w:highlight w:val="none"/>
          <w:u w:val="single"/>
          <w:lang w:val="en-US" w:eastAsia="zh-CN"/>
        </w:rPr>
        <w:t>③</w:t>
      </w:r>
      <w:r>
        <w:rPr>
          <w:rFonts w:hint="eastAsia" w:ascii="宋体" w:hAnsi="宋体" w:eastAsia="宋体" w:cs="宋体"/>
          <w:bCs/>
          <w:color w:val="000000"/>
          <w:sz w:val="24"/>
          <w:highlight w:val="none"/>
          <w:u w:val="single"/>
        </w:rPr>
        <w:t> 质保期满，达到付款条件起10个工作日内，支付合同总金额的3.0%</w:t>
      </w:r>
      <w:r>
        <w:rPr>
          <w:rFonts w:hint="eastAsia" w:ascii="宋体" w:hAnsi="宋体" w:eastAsia="宋体" w:cs="宋体"/>
          <w:bCs/>
          <w:color w:val="000000"/>
          <w:sz w:val="24"/>
          <w:highlight w:val="none"/>
          <w:u w:val="single"/>
          <w:lang w:eastAsia="zh-CN"/>
        </w:rPr>
        <w:t>。</w:t>
      </w:r>
    </w:p>
    <w:p w14:paraId="1895422F">
      <w:pPr>
        <w:spacing w:line="360" w:lineRule="auto"/>
        <w:rPr>
          <w:rFonts w:hint="eastAsia" w:ascii="宋体" w:hAnsi="宋体" w:cs="宋体"/>
          <w:b/>
          <w:color w:val="000000"/>
          <w:sz w:val="24"/>
        </w:rPr>
      </w:pPr>
      <w:r>
        <w:rPr>
          <w:rFonts w:hint="eastAsia" w:ascii="宋体" w:hAnsi="宋体" w:cs="宋体"/>
          <w:b/>
          <w:color w:val="000000"/>
          <w:sz w:val="24"/>
        </w:rPr>
        <w:t>四、交货条件</w:t>
      </w:r>
    </w:p>
    <w:p w14:paraId="52B87E9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w:t>
      </w:r>
      <w:r>
        <w:rPr>
          <w:rFonts w:hint="eastAsia" w:ascii="宋体" w:hAnsi="宋体" w:cs="宋体"/>
          <w:bCs/>
          <w:color w:val="000000"/>
          <w:sz w:val="24"/>
          <w:lang w:val="en-US" w:eastAsia="zh-CN"/>
        </w:rPr>
        <w:t>.</w:t>
      </w:r>
      <w:r>
        <w:rPr>
          <w:rFonts w:hint="eastAsia" w:ascii="宋体" w:hAnsi="宋体" w:cs="宋体"/>
          <w:bCs/>
          <w:color w:val="000000"/>
          <w:sz w:val="24"/>
        </w:rPr>
        <w:t>交货地点：</w:t>
      </w:r>
      <w:r>
        <w:rPr>
          <w:rFonts w:hint="eastAsia" w:ascii="宋体" w:hAnsi="宋体" w:cs="宋体"/>
          <w:bCs/>
          <w:color w:val="000000"/>
          <w:sz w:val="24"/>
          <w:lang w:val="en-US" w:eastAsia="zh-CN"/>
        </w:rPr>
        <w:t>甲方</w:t>
      </w:r>
      <w:r>
        <w:rPr>
          <w:rFonts w:hint="eastAsia" w:ascii="宋体" w:hAnsi="宋体" w:cs="宋体"/>
          <w:bCs/>
          <w:color w:val="000000"/>
          <w:sz w:val="24"/>
        </w:rPr>
        <w:t>指定地点。</w:t>
      </w:r>
    </w:p>
    <w:p w14:paraId="5F6B62AC">
      <w:pPr>
        <w:spacing w:line="360" w:lineRule="auto"/>
        <w:ind w:firstLine="480" w:firstLineChars="200"/>
        <w:rPr>
          <w:rFonts w:hint="eastAsia" w:ascii="宋体" w:hAnsi="宋体" w:eastAsia="宋体" w:cs="宋体"/>
          <w:bCs/>
          <w:color w:val="000000"/>
          <w:sz w:val="24"/>
          <w:lang w:eastAsia="zh-CN"/>
        </w:rPr>
      </w:pPr>
      <w:r>
        <w:rPr>
          <w:rFonts w:hint="eastAsia" w:ascii="宋体" w:hAnsi="宋体" w:cs="宋体"/>
          <w:bCs/>
          <w:color w:val="000000"/>
          <w:sz w:val="24"/>
          <w:lang w:val="en-US" w:eastAsia="zh-CN"/>
        </w:rPr>
        <w:t>2.</w:t>
      </w:r>
      <w:r>
        <w:rPr>
          <w:rFonts w:hint="eastAsia" w:ascii="宋体" w:hAnsi="宋体" w:cs="宋体"/>
          <w:bCs/>
          <w:color w:val="000000"/>
          <w:sz w:val="24"/>
        </w:rPr>
        <w:t>交货</w:t>
      </w:r>
      <w:r>
        <w:rPr>
          <w:rFonts w:hint="eastAsia" w:ascii="宋体" w:hAnsi="宋体" w:cs="宋体"/>
          <w:bCs/>
          <w:color w:val="000000"/>
          <w:sz w:val="24"/>
          <w:lang w:eastAsia="zh-CN"/>
        </w:rPr>
        <w:t>期</w:t>
      </w:r>
      <w:r>
        <w:rPr>
          <w:rFonts w:hint="eastAsia" w:ascii="宋体" w:hAnsi="宋体" w:cs="宋体"/>
          <w:bCs/>
          <w:color w:val="000000"/>
          <w:sz w:val="24"/>
        </w:rPr>
        <w:t>：</w:t>
      </w:r>
      <w:r>
        <w:rPr>
          <w:rFonts w:hint="eastAsia" w:ascii="宋体" w:hAnsi="宋体" w:cs="宋体"/>
          <w:bCs/>
          <w:color w:val="000000"/>
          <w:sz w:val="24"/>
          <w:lang w:eastAsia="zh-CN"/>
        </w:rPr>
        <w:t>自合同签订之日起</w:t>
      </w:r>
      <w:r>
        <w:rPr>
          <w:rFonts w:hint="eastAsia" w:ascii="宋体" w:hAnsi="宋体" w:cs="宋体"/>
          <w:bCs/>
          <w:color w:val="000000"/>
          <w:sz w:val="24"/>
          <w:u w:val="single"/>
          <w:lang w:val="en-US" w:eastAsia="zh-CN"/>
        </w:rPr>
        <w:t xml:space="preserve">     </w:t>
      </w:r>
      <w:r>
        <w:rPr>
          <w:rFonts w:hint="eastAsia" w:ascii="宋体" w:hAnsi="宋体" w:cs="宋体"/>
          <w:bCs/>
          <w:color w:val="000000"/>
          <w:sz w:val="24"/>
        </w:rPr>
        <w:t>日历日</w:t>
      </w:r>
      <w:r>
        <w:rPr>
          <w:rFonts w:hint="eastAsia" w:ascii="宋体" w:hAnsi="宋体" w:cs="宋体"/>
          <w:bCs/>
          <w:color w:val="000000"/>
          <w:sz w:val="24"/>
          <w:lang w:eastAsia="zh-CN"/>
        </w:rPr>
        <w:t>。</w:t>
      </w:r>
    </w:p>
    <w:p w14:paraId="62269C42">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3.</w:t>
      </w:r>
      <w:r>
        <w:rPr>
          <w:rFonts w:hint="eastAsia" w:ascii="宋体" w:hAnsi="宋体" w:cs="宋体"/>
          <w:bCs/>
          <w:color w:val="000000"/>
          <w:sz w:val="24"/>
        </w:rPr>
        <w:t>保质期：</w:t>
      </w:r>
      <w:r>
        <w:rPr>
          <w:rFonts w:hint="eastAsia" w:ascii="宋体" w:hAnsi="宋体" w:cs="宋体"/>
          <w:bCs/>
          <w:color w:val="000000"/>
          <w:sz w:val="24"/>
          <w:lang w:val="en-US" w:eastAsia="zh-CN"/>
        </w:rPr>
        <w:t>1年</w:t>
      </w:r>
      <w:r>
        <w:rPr>
          <w:rFonts w:hint="eastAsia" w:ascii="宋体" w:hAnsi="宋体" w:cs="宋体"/>
          <w:bCs/>
          <w:color w:val="000000"/>
          <w:sz w:val="24"/>
        </w:rPr>
        <w:t>。</w:t>
      </w:r>
    </w:p>
    <w:p w14:paraId="1DA3D4CF">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4.</w:t>
      </w:r>
      <w:r>
        <w:rPr>
          <w:rFonts w:hint="eastAsia" w:ascii="宋体" w:hAnsi="宋体" w:cs="宋体"/>
          <w:bCs/>
          <w:color w:val="000000"/>
          <w:sz w:val="24"/>
        </w:rPr>
        <w:t>供货单位必须提供相关资料存档：</w:t>
      </w:r>
    </w:p>
    <w:p w14:paraId="433020DE">
      <w:pPr>
        <w:spacing w:line="360" w:lineRule="auto"/>
        <w:rPr>
          <w:rFonts w:hint="eastAsia" w:ascii="宋体" w:hAnsi="宋体" w:cs="宋体"/>
          <w:b/>
          <w:color w:val="000000"/>
          <w:sz w:val="24"/>
        </w:rPr>
      </w:pPr>
      <w:r>
        <w:rPr>
          <w:rFonts w:hint="eastAsia" w:ascii="宋体" w:hAnsi="宋体" w:cs="宋体"/>
          <w:b/>
          <w:color w:val="000000"/>
          <w:sz w:val="24"/>
        </w:rPr>
        <w:t>五、货物运输</w:t>
      </w:r>
    </w:p>
    <w:p w14:paraId="62C1413D">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1．乙方负责所有货物的运输。确保货物安全、完整到达使用地点，运杂费用包含在总价内，包括货物从供货地点到采购人指定地点的运输费、保险费、搬运费等相关费用。</w:t>
      </w:r>
    </w:p>
    <w:p w14:paraId="5933D551">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2．所供货物在运输、搬运、安装的过程中，造成甲方财产损失和人员受伤的的，由乙方为甲方修复、更新和治疗,所产生费用由乙方承担。</w:t>
      </w:r>
    </w:p>
    <w:p w14:paraId="4E36F763">
      <w:pPr>
        <w:spacing w:line="360" w:lineRule="auto"/>
        <w:rPr>
          <w:rFonts w:hint="eastAsia" w:ascii="宋体" w:hAnsi="宋体" w:cs="宋体"/>
          <w:b/>
          <w:color w:val="000000"/>
          <w:sz w:val="24"/>
        </w:rPr>
      </w:pPr>
      <w:r>
        <w:rPr>
          <w:rFonts w:hint="eastAsia" w:ascii="宋体" w:hAnsi="宋体" w:cs="宋体"/>
          <w:b/>
          <w:color w:val="000000"/>
          <w:sz w:val="24"/>
        </w:rPr>
        <w:t>六、质量保证</w:t>
      </w:r>
    </w:p>
    <w:p w14:paraId="78E4283D">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1．乙方提供产品必须是原品牌制造厂制造的最新工艺生产的最新产品。</w:t>
      </w:r>
    </w:p>
    <w:p w14:paraId="0C0BBC47">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2．所供产品必须是经过办理正常手续的全新产品。</w:t>
      </w:r>
    </w:p>
    <w:p w14:paraId="0427B4AC">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3．所供产品是经过国家法定检验、注册、准许市场销售的合法、合格产品。</w:t>
      </w:r>
    </w:p>
    <w:p w14:paraId="67D07C96">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4．产品性能稳定、具有较好的使用效果，质量保证措施完善，符合国家相关标准。</w:t>
      </w:r>
    </w:p>
    <w:p w14:paraId="3E64B1C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5．使用中因乙方产品质量所引发的各种赔偿责任（如医疗纠纷）由厂家或供货商负责协调解决。</w:t>
      </w:r>
    </w:p>
    <w:p w14:paraId="732A9381">
      <w:pPr>
        <w:spacing w:line="360" w:lineRule="exact"/>
        <w:ind w:firstLine="480" w:firstLineChars="200"/>
        <w:rPr>
          <w:rFonts w:hint="eastAsia" w:ascii="宋体" w:hAnsi="宋体" w:cs="宋体"/>
          <w:bCs/>
          <w:color w:val="000000"/>
          <w:sz w:val="24"/>
        </w:rPr>
      </w:pPr>
      <w:r>
        <w:rPr>
          <w:rFonts w:hint="eastAsia" w:ascii="宋体" w:hAnsi="宋体" w:cs="宋体"/>
          <w:bCs/>
          <w:color w:val="000000"/>
          <w:sz w:val="24"/>
        </w:rPr>
        <w:t>6．对于存在质量问题或者短少的产品，供应商应在接到采购人的通知2个日历日内负责调换或补齐。</w:t>
      </w:r>
    </w:p>
    <w:p w14:paraId="4A3A54FB">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7．包装要求</w:t>
      </w:r>
    </w:p>
    <w:p w14:paraId="7DC9000A">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7-1、除合同另有规定外，乙方提供的全部产品，均应按标准保护措施进行包装，并确保产品安全无损运抵甲方指定地点。</w:t>
      </w:r>
    </w:p>
    <w:p w14:paraId="07F6A690">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7-2、每一个包装箱内应附一份详细装箱单和质量合格证。</w:t>
      </w:r>
    </w:p>
    <w:p w14:paraId="3DBE0BBF">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8．乙方负责对保存期小于</w:t>
      </w:r>
      <w:r>
        <w:rPr>
          <w:rFonts w:hint="eastAsia" w:ascii="宋体" w:hAnsi="宋体" w:cs="宋体"/>
          <w:bCs/>
          <w:color w:val="000000"/>
          <w:sz w:val="24"/>
          <w:lang w:val="en-US" w:eastAsia="zh-CN"/>
        </w:rPr>
        <w:t>12</w:t>
      </w:r>
      <w:r>
        <w:rPr>
          <w:rFonts w:hint="eastAsia" w:ascii="宋体" w:hAnsi="宋体" w:cs="宋体"/>
          <w:bCs/>
          <w:color w:val="000000"/>
          <w:sz w:val="24"/>
        </w:rPr>
        <w:t>个月的产品进行调换。</w:t>
      </w:r>
    </w:p>
    <w:p w14:paraId="3DE8A42F">
      <w:pPr>
        <w:spacing w:line="360" w:lineRule="auto"/>
        <w:rPr>
          <w:rFonts w:hint="eastAsia" w:ascii="宋体" w:hAnsi="宋体" w:cs="宋体"/>
          <w:b/>
          <w:color w:val="000000"/>
          <w:sz w:val="24"/>
        </w:rPr>
      </w:pPr>
      <w:r>
        <w:rPr>
          <w:rFonts w:hint="eastAsia" w:ascii="宋体" w:hAnsi="宋体" w:cs="宋体"/>
          <w:b/>
          <w:color w:val="000000"/>
          <w:sz w:val="24"/>
        </w:rPr>
        <w:t>七、货物验收</w:t>
      </w:r>
    </w:p>
    <w:p w14:paraId="1CEF7E2D">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由采购人和供应商共同对项目整体进行验收，应当在</w:t>
      </w:r>
      <w:r>
        <w:rPr>
          <w:rFonts w:hint="eastAsia" w:ascii="宋体" w:hAnsi="宋体" w:cs="宋体"/>
          <w:bCs/>
          <w:color w:val="000000"/>
          <w:sz w:val="24"/>
          <w:lang w:val="en-US" w:eastAsia="zh-CN"/>
        </w:rPr>
        <w:t>7</w:t>
      </w:r>
      <w:r>
        <w:rPr>
          <w:rFonts w:hint="eastAsia" w:ascii="宋体" w:hAnsi="宋体" w:cs="宋体"/>
          <w:bCs/>
          <w:color w:val="000000"/>
          <w:sz w:val="24"/>
        </w:rPr>
        <w:t>个日历日内完成。其内容包括确认产品的产地、规格、型号、数量、包装等，对其产品技术指标、性能参数是否达到现行国家有关验收规范“合格”标准进行逐项检查。</w:t>
      </w:r>
    </w:p>
    <w:p w14:paraId="389191EF">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1.所验产品的指标、性能参数通过验收达不到招标文件要求和投标文件承诺的，或在使用中发现采购人不能容忍的缺陷等，将视为产品验收不合格，供应商应无条件免费更换或退货。</w:t>
      </w:r>
    </w:p>
    <w:p w14:paraId="4C90CF1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2.若发现供应商有弄虚作假的，在招标阶段故意或随意夸大产品技术性能，供应商应无条件退货，并赔偿采购人相应的损失。</w:t>
      </w:r>
    </w:p>
    <w:p w14:paraId="2C3D944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3.验收标准：按招标文件、</w:t>
      </w:r>
      <w:r>
        <w:rPr>
          <w:rFonts w:hint="eastAsia" w:ascii="宋体" w:hAnsi="宋体" w:cs="宋体"/>
          <w:bCs/>
          <w:color w:val="000000"/>
          <w:sz w:val="24"/>
          <w:lang w:eastAsia="zh-CN"/>
        </w:rPr>
        <w:t>投标</w:t>
      </w:r>
      <w:r>
        <w:rPr>
          <w:rFonts w:hint="eastAsia" w:ascii="宋体" w:hAnsi="宋体" w:cs="宋体"/>
          <w:bCs/>
          <w:color w:val="000000"/>
          <w:sz w:val="24"/>
        </w:rPr>
        <w:t>文件及澄清函等技术指标进行验收。各项指标均应符合验收标准及要求。</w:t>
      </w:r>
    </w:p>
    <w:p w14:paraId="3CF9E8EB">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4.验收合格后，填写验收单，双方签字生效。</w:t>
      </w:r>
    </w:p>
    <w:p w14:paraId="7C3B0423">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5.验收依据：合同文本；投标文件及澄清函、招标文件；国家和行业制定的相应的标准和规范；产品验收清单（注明品名、数量、规格型号和原产地或生产厂家）。</w:t>
      </w:r>
    </w:p>
    <w:p w14:paraId="39B028BC">
      <w:pPr>
        <w:spacing w:line="360" w:lineRule="auto"/>
        <w:rPr>
          <w:rFonts w:hint="eastAsia" w:ascii="宋体" w:hAnsi="宋体" w:cs="宋体"/>
          <w:b/>
          <w:color w:val="000000"/>
          <w:sz w:val="24"/>
        </w:rPr>
      </w:pPr>
      <w:r>
        <w:rPr>
          <w:rFonts w:hint="eastAsia" w:ascii="宋体" w:hAnsi="宋体" w:cs="宋体"/>
          <w:b/>
          <w:color w:val="000000"/>
          <w:sz w:val="24"/>
        </w:rPr>
        <w:t>八、权利和义务</w:t>
      </w:r>
    </w:p>
    <w:p w14:paraId="28E0AC1A">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1</w:t>
      </w:r>
      <w:r>
        <w:rPr>
          <w:rFonts w:hint="eastAsia" w:ascii="宋体" w:hAnsi="宋体" w:cs="宋体"/>
          <w:bCs/>
          <w:color w:val="000000"/>
          <w:sz w:val="24"/>
        </w:rPr>
        <w:t>．乙方应保证甲方在使用该产品或其任何一部分时免受第三方提出侵犯其专利权、商标权或工业设计权的起诉。</w:t>
      </w:r>
    </w:p>
    <w:p w14:paraId="5C4F579E">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2</w:t>
      </w:r>
      <w:r>
        <w:rPr>
          <w:rFonts w:hint="eastAsia" w:ascii="宋体" w:hAnsi="宋体" w:cs="宋体"/>
          <w:bCs/>
          <w:color w:val="000000"/>
          <w:sz w:val="24"/>
        </w:rPr>
        <w:t>．产品质量不符合合同规定时，乙方负责包退包换。由于上述原因导致延误交货时间的，每延误一日，乙方应按逾期交货部分产品价款总值的5‰向甲方偿付违约金。</w:t>
      </w:r>
    </w:p>
    <w:p w14:paraId="2DBC4C52">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3</w:t>
      </w:r>
      <w:r>
        <w:rPr>
          <w:rFonts w:hint="eastAsia" w:ascii="宋体" w:hAnsi="宋体" w:cs="宋体"/>
          <w:bCs/>
          <w:color w:val="000000"/>
          <w:sz w:val="24"/>
        </w:rPr>
        <w:t>．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29E7D31">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lang w:val="en-US" w:eastAsia="zh-CN"/>
        </w:rPr>
        <w:t>4</w:t>
      </w:r>
      <w:r>
        <w:rPr>
          <w:rFonts w:hint="eastAsia" w:ascii="宋体" w:hAnsi="宋体" w:cs="宋体"/>
          <w:bCs/>
          <w:color w:val="000000"/>
          <w:sz w:val="24"/>
        </w:rPr>
        <w:t>．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周的赔偿费按迟交货物交货价或未提供服务的服务费用的百分之一（1%）计收，直至交货或提供服务为止。误期赔偿费的最高限额为合同价格的百分之五（5%）。一旦达到误期赔偿费的最高限额或发生误期供货≧3次，甲方可终止合同。</w:t>
      </w:r>
    </w:p>
    <w:p w14:paraId="69F66554">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6．如乙方未能按照招标参数要求提供甲方所需货物，且七个日历日内无法整改，甲方可终止合同。</w:t>
      </w:r>
    </w:p>
    <w:p w14:paraId="3F7D9A2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7．如遇不可抗拒因素，甲方可终止合同。</w:t>
      </w:r>
    </w:p>
    <w:p w14:paraId="63B01C6F">
      <w:pPr>
        <w:spacing w:line="360" w:lineRule="auto"/>
        <w:rPr>
          <w:rFonts w:hint="eastAsia" w:ascii="宋体" w:hAnsi="宋体" w:cs="宋体"/>
          <w:b/>
          <w:color w:val="000000"/>
          <w:sz w:val="24"/>
        </w:rPr>
      </w:pPr>
      <w:r>
        <w:rPr>
          <w:rFonts w:hint="eastAsia" w:ascii="宋体" w:hAnsi="宋体" w:cs="宋体"/>
          <w:b/>
          <w:color w:val="000000"/>
          <w:sz w:val="24"/>
        </w:rPr>
        <w:t>九、技术及售后服务(据实填写,可以补充增加)</w:t>
      </w:r>
    </w:p>
    <w:p w14:paraId="27354E28">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1．技术服务承诺：乙方免费提供必要的技术支持，包括现场指导、集中授课、专项操作等。</w:t>
      </w:r>
    </w:p>
    <w:p w14:paraId="1B483BD1">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2．售后服务承诺：甲方发现有质量或可能影响质量问题时，乙方接到通知后1小时内反应，24小时内到达现场解决问题。</w:t>
      </w:r>
    </w:p>
    <w:p w14:paraId="04A576C0">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3．优惠承诺：在招标过程中形成的，但不限于招标过程中形成的，可以增加优惠承诺内容。</w:t>
      </w:r>
    </w:p>
    <w:p w14:paraId="0961F459">
      <w:pPr>
        <w:spacing w:line="360" w:lineRule="auto"/>
        <w:rPr>
          <w:rFonts w:hint="eastAsia" w:ascii="宋体" w:hAnsi="宋体" w:cs="宋体"/>
          <w:b/>
          <w:color w:val="000000"/>
          <w:sz w:val="24"/>
        </w:rPr>
      </w:pPr>
      <w:r>
        <w:rPr>
          <w:rFonts w:hint="eastAsia" w:ascii="宋体" w:hAnsi="宋体" w:cs="宋体"/>
          <w:b/>
          <w:color w:val="000000"/>
          <w:sz w:val="24"/>
        </w:rPr>
        <w:t>十、违约责任</w:t>
      </w:r>
    </w:p>
    <w:p w14:paraId="5DB94324">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1.除本合同另有约定外，按《中华人民共和国民法典》</w:t>
      </w:r>
      <w:r>
        <w:rPr>
          <w:rFonts w:hint="eastAsia" w:ascii="宋体" w:hAnsi="宋体" w:cs="宋体"/>
          <w:bCs/>
          <w:color w:val="000000"/>
          <w:sz w:val="24"/>
          <w:lang w:eastAsia="zh-CN"/>
        </w:rPr>
        <w:t>、</w:t>
      </w:r>
      <w:r>
        <w:rPr>
          <w:rFonts w:hint="eastAsia" w:ascii="宋体" w:hAnsi="宋体" w:cs="宋体"/>
          <w:bCs/>
          <w:color w:val="000000"/>
          <w:sz w:val="24"/>
        </w:rPr>
        <w:t>《中华人民共和国政府采购法》中的相关条款执行。</w:t>
      </w:r>
    </w:p>
    <w:p w14:paraId="5A20B406">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2．如乙方事先未征得甲方同意并得到甲方的谅解而单方面延迟交货，将按违约终止合同。</w:t>
      </w:r>
    </w:p>
    <w:p w14:paraId="7B3E6EB2">
      <w:pPr>
        <w:spacing w:line="360" w:lineRule="auto"/>
        <w:ind w:firstLine="480" w:firstLineChars="200"/>
        <w:rPr>
          <w:rFonts w:ascii="宋体" w:hAnsi="宋体" w:cs="宋体"/>
          <w:bCs/>
          <w:color w:val="000000"/>
          <w:sz w:val="24"/>
        </w:rPr>
      </w:pPr>
      <w:r>
        <w:rPr>
          <w:rFonts w:hint="eastAsia" w:ascii="宋体" w:hAnsi="宋体" w:cs="宋体"/>
          <w:bCs/>
          <w:color w:val="000000"/>
          <w:sz w:val="24"/>
        </w:rPr>
        <w:t>3．违约终止合同：未按合同要求提供货物或质量不能满足技术要求，甲方会同监督机构有权终止合同，对乙方违约行为进行追究，同时按政府采购法的有关规定进行相应的处罚。</w:t>
      </w:r>
    </w:p>
    <w:p w14:paraId="49AF1BEA">
      <w:pPr>
        <w:spacing w:line="360" w:lineRule="auto"/>
        <w:rPr>
          <w:rFonts w:hint="eastAsia" w:ascii="宋体" w:hAnsi="宋体" w:cs="宋体"/>
          <w:b/>
          <w:color w:val="000000"/>
          <w:sz w:val="24"/>
        </w:rPr>
      </w:pPr>
      <w:r>
        <w:rPr>
          <w:rFonts w:hint="eastAsia" w:ascii="宋体" w:hAnsi="宋体" w:cs="宋体"/>
          <w:b/>
          <w:color w:val="000000"/>
          <w:sz w:val="24"/>
        </w:rPr>
        <w:t>十一、合同争议解决的方式</w:t>
      </w:r>
    </w:p>
    <w:p w14:paraId="7D90876F">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本合同在履行过程中发生的争议，由甲、乙双方当事人协商解决，协商不成的按下列第</w:t>
      </w:r>
      <w:r>
        <w:rPr>
          <w:rFonts w:hint="eastAsia" w:ascii="宋体" w:hAnsi="宋体" w:cs="宋体"/>
          <w:bCs/>
          <w:color w:val="000000"/>
          <w:sz w:val="24"/>
          <w:u w:val="single"/>
        </w:rPr>
        <w:t>（二）</w:t>
      </w:r>
      <w:r>
        <w:rPr>
          <w:rFonts w:hint="eastAsia" w:ascii="宋体" w:hAnsi="宋体" w:cs="宋体"/>
          <w:bCs/>
          <w:color w:val="000000"/>
          <w:sz w:val="24"/>
        </w:rPr>
        <w:t>种方式解决：</w:t>
      </w:r>
    </w:p>
    <w:p w14:paraId="4FB5EC05">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（一）提交</w:t>
      </w:r>
      <w:r>
        <w:rPr>
          <w:rFonts w:hint="eastAsia" w:ascii="宋体" w:hAnsi="宋体" w:cs="宋体"/>
          <w:bCs/>
          <w:color w:val="000000"/>
          <w:sz w:val="24"/>
          <w:lang w:val="en-US" w:eastAsia="zh-CN"/>
        </w:rPr>
        <w:t>项目所在地</w:t>
      </w:r>
      <w:r>
        <w:rPr>
          <w:rFonts w:hint="eastAsia" w:ascii="宋体" w:hAnsi="宋体" w:cs="宋体"/>
          <w:bCs/>
          <w:color w:val="000000"/>
          <w:sz w:val="24"/>
        </w:rPr>
        <w:t>仲裁委员会仲裁；</w:t>
      </w:r>
    </w:p>
    <w:p w14:paraId="21B01A97">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（二）依法向</w:t>
      </w:r>
      <w:r>
        <w:rPr>
          <w:rFonts w:hint="eastAsia" w:ascii="宋体" w:hAnsi="宋体" w:cs="宋体"/>
          <w:bCs/>
          <w:color w:val="000000"/>
          <w:sz w:val="24"/>
          <w:lang w:val="en-US" w:eastAsia="zh-CN"/>
        </w:rPr>
        <w:t>项目</w:t>
      </w:r>
      <w:bookmarkStart w:id="0" w:name="_GoBack"/>
      <w:bookmarkEnd w:id="0"/>
      <w:r>
        <w:rPr>
          <w:rFonts w:hint="eastAsia" w:ascii="宋体" w:hAnsi="宋体" w:cs="宋体"/>
          <w:bCs/>
          <w:color w:val="000000"/>
          <w:sz w:val="24"/>
        </w:rPr>
        <w:t>所在地人民法院起诉。</w:t>
      </w:r>
    </w:p>
    <w:p w14:paraId="6FC4555D">
      <w:pPr>
        <w:spacing w:line="360" w:lineRule="auto"/>
        <w:rPr>
          <w:rFonts w:hint="eastAsia" w:ascii="宋体" w:hAnsi="宋体" w:cs="宋体"/>
          <w:b/>
          <w:color w:val="000000"/>
          <w:sz w:val="24"/>
        </w:rPr>
      </w:pPr>
      <w:r>
        <w:rPr>
          <w:rFonts w:hint="eastAsia" w:ascii="宋体" w:hAnsi="宋体" w:cs="宋体"/>
          <w:b/>
          <w:color w:val="000000"/>
          <w:sz w:val="24"/>
        </w:rPr>
        <w:t>十二、合同生效</w:t>
      </w:r>
    </w:p>
    <w:p w14:paraId="521F4C91">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（一）本合同经双方，鉴证方签字盖章或直接盖章后生效。</w:t>
      </w:r>
    </w:p>
    <w:p w14:paraId="07046DBD">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（二）合同生效后，甲、乙双方须严格执行本合同条款的规定，全面履行合同，违者按《中华人民共和国民法典》的有关规定承担相应责任。</w:t>
      </w:r>
    </w:p>
    <w:p w14:paraId="086DF309">
      <w:pPr>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（三）本合同一式</w:t>
      </w:r>
      <w:r>
        <w:rPr>
          <w:rFonts w:hint="eastAsia" w:ascii="宋体" w:hAnsi="宋体" w:cs="宋体"/>
          <w:bCs/>
          <w:color w:val="000000"/>
          <w:sz w:val="24"/>
          <w:u w:val="single"/>
          <w:lang w:val="en-US" w:eastAsia="zh-CN"/>
        </w:rPr>
        <w:t xml:space="preserve">   </w:t>
      </w:r>
      <w:r>
        <w:rPr>
          <w:rFonts w:hint="eastAsia" w:ascii="宋体" w:hAnsi="宋体" w:cs="宋体"/>
          <w:bCs/>
          <w:color w:val="000000"/>
          <w:sz w:val="24"/>
        </w:rPr>
        <w:t>份，甲乙双方各执</w:t>
      </w:r>
      <w:r>
        <w:rPr>
          <w:rFonts w:hint="eastAsia" w:ascii="宋体" w:hAnsi="宋体" w:cs="宋体"/>
          <w:bCs/>
          <w:color w:val="000000"/>
          <w:sz w:val="24"/>
          <w:u w:val="single"/>
          <w:lang w:val="en-US" w:eastAsia="zh-CN"/>
        </w:rPr>
        <w:t xml:space="preserve">   </w:t>
      </w:r>
      <w:r>
        <w:rPr>
          <w:rFonts w:hint="eastAsia" w:ascii="宋体" w:hAnsi="宋体" w:cs="宋体"/>
          <w:bCs/>
          <w:color w:val="000000"/>
          <w:sz w:val="24"/>
        </w:rPr>
        <w:t>份</w:t>
      </w:r>
      <w:r>
        <w:rPr>
          <w:rFonts w:hint="eastAsia" w:ascii="宋体" w:hAnsi="宋体" w:cs="宋体"/>
          <w:bCs/>
          <w:color w:val="000000"/>
          <w:sz w:val="24"/>
          <w:lang w:val="en-US" w:eastAsia="zh-CN"/>
        </w:rPr>
        <w:t>，未尽事宜另行协商</w:t>
      </w:r>
      <w:r>
        <w:rPr>
          <w:rFonts w:hint="eastAsia" w:ascii="宋体" w:hAnsi="宋体" w:cs="宋体"/>
          <w:bCs/>
          <w:color w:val="000000"/>
          <w:sz w:val="24"/>
        </w:rPr>
        <w:t>。</w:t>
      </w:r>
    </w:p>
    <w:p w14:paraId="00EFBA89">
      <w:pPr>
        <w:spacing w:line="360" w:lineRule="auto"/>
        <w:rPr>
          <w:rFonts w:hint="default" w:ascii="宋体" w:hAnsi="宋体" w:eastAsia="宋体" w:cs="宋体"/>
          <w:b/>
          <w:color w:val="000000"/>
          <w:sz w:val="24"/>
          <w:lang w:val="en-US" w:eastAsia="zh-CN"/>
        </w:rPr>
      </w:pPr>
      <w:r>
        <w:rPr>
          <w:rFonts w:hint="eastAsia" w:ascii="宋体" w:hAnsi="宋体" w:eastAsia="宋体" w:cs="宋体"/>
          <w:b/>
          <w:color w:val="000000"/>
          <w:sz w:val="24"/>
          <w:lang w:val="en-US" w:eastAsia="zh-CN"/>
        </w:rPr>
        <w:t>十三、其他</w:t>
      </w:r>
    </w:p>
    <w:p w14:paraId="496D2D7D">
      <w:pPr>
        <w:widowControl/>
        <w:tabs>
          <w:tab w:val="left" w:pos="8391"/>
        </w:tabs>
        <w:autoSpaceDE w:val="0"/>
        <w:autoSpaceDN w:val="0"/>
        <w:snapToGrid w:val="0"/>
        <w:spacing w:line="360" w:lineRule="auto"/>
        <w:ind w:right="-69" w:firstLine="840" w:firstLineChars="350"/>
        <w:textAlignment w:val="bottom"/>
        <w:rPr>
          <w:rFonts w:hint="default" w:ascii="宋体" w:hAnsi="宋体" w:eastAsia="宋体" w:cs="宋体"/>
          <w:kern w:val="0"/>
          <w:sz w:val="24"/>
          <w:lang w:val="en-US" w:eastAsia="zh-CN"/>
        </w:rPr>
      </w:pPr>
      <w:r>
        <w:rPr>
          <w:rFonts w:hint="eastAsia" w:ascii="宋体" w:hAnsi="宋体" w:cs="宋体"/>
          <w:kern w:val="0"/>
          <w:sz w:val="24"/>
          <w:lang w:val="en-US" w:eastAsia="zh-CN"/>
        </w:rPr>
        <w:t>补充条款</w:t>
      </w:r>
    </w:p>
    <w:p w14:paraId="6F158723">
      <w:pPr>
        <w:widowControl/>
        <w:tabs>
          <w:tab w:val="left" w:pos="8391"/>
        </w:tabs>
        <w:autoSpaceDE w:val="0"/>
        <w:autoSpaceDN w:val="0"/>
        <w:snapToGrid w:val="0"/>
        <w:spacing w:line="360" w:lineRule="auto"/>
        <w:ind w:right="-69" w:firstLine="840" w:firstLineChars="350"/>
        <w:textAlignment w:val="bottom"/>
        <w:rPr>
          <w:rFonts w:hint="eastAsia" w:ascii="宋体" w:hAnsi="宋体" w:cs="宋体"/>
          <w:kern w:val="0"/>
          <w:sz w:val="24"/>
        </w:rPr>
      </w:pPr>
    </w:p>
    <w:p w14:paraId="10D522CB">
      <w:pPr>
        <w:widowControl/>
        <w:tabs>
          <w:tab w:val="left" w:pos="8391"/>
        </w:tabs>
        <w:autoSpaceDE w:val="0"/>
        <w:autoSpaceDN w:val="0"/>
        <w:snapToGrid w:val="0"/>
        <w:spacing w:line="360" w:lineRule="auto"/>
        <w:ind w:right="-69" w:firstLine="840" w:firstLineChars="350"/>
        <w:textAlignment w:val="bottom"/>
        <w:rPr>
          <w:rFonts w:hint="eastAsia" w:ascii="宋体" w:hAnsi="宋体" w:cs="宋体"/>
          <w:kern w:val="0"/>
          <w:sz w:val="24"/>
        </w:rPr>
      </w:pPr>
    </w:p>
    <w:p w14:paraId="5A1D2D54">
      <w:pPr>
        <w:pStyle w:val="2"/>
        <w:rPr>
          <w:rFonts w:hint="eastAsia"/>
        </w:rPr>
      </w:pPr>
    </w:p>
    <w:tbl>
      <w:tblPr>
        <w:tblStyle w:val="3"/>
        <w:tblW w:w="0" w:type="auto"/>
        <w:jc w:val="center"/>
        <w:tblLayout w:type="fixed"/>
        <w:tblCellMar>
          <w:top w:w="0" w:type="dxa"/>
          <w:left w:w="108" w:type="dxa"/>
          <w:bottom w:w="0" w:type="dxa"/>
          <w:right w:w="108" w:type="dxa"/>
        </w:tblCellMar>
      </w:tblPr>
      <w:tblGrid>
        <w:gridCol w:w="4643"/>
        <w:gridCol w:w="4643"/>
      </w:tblGrid>
      <w:tr w14:paraId="71A311CF">
        <w:tblPrEx>
          <w:tblCellMar>
            <w:top w:w="0" w:type="dxa"/>
            <w:left w:w="108" w:type="dxa"/>
            <w:bottom w:w="0" w:type="dxa"/>
            <w:right w:w="108" w:type="dxa"/>
          </w:tblCellMar>
        </w:tblPrEx>
        <w:trPr>
          <w:jc w:val="center"/>
        </w:trPr>
        <w:tc>
          <w:tcPr>
            <w:tcW w:w="4643" w:type="dxa"/>
            <w:noWrap w:val="0"/>
            <w:vAlign w:val="top"/>
          </w:tcPr>
          <w:p w14:paraId="447A59A2">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甲方名称</w:t>
            </w:r>
            <w:r>
              <w:rPr>
                <w:rFonts w:hint="eastAsia" w:ascii="宋体" w:hAnsi="宋体" w:cs="宋体"/>
                <w:spacing w:val="-20"/>
                <w:kern w:val="0"/>
                <w:sz w:val="24"/>
              </w:rPr>
              <w:t>（盖章）</w:t>
            </w:r>
            <w:r>
              <w:rPr>
                <w:rFonts w:hint="eastAsia" w:ascii="宋体" w:hAnsi="宋体" w:cs="宋体"/>
                <w:kern w:val="0"/>
                <w:sz w:val="24"/>
              </w:rPr>
              <w:t>:</w:t>
            </w:r>
          </w:p>
          <w:p w14:paraId="2AFF8F8F">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地址：</w:t>
            </w:r>
          </w:p>
          <w:p w14:paraId="6E2B12B4">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代表人（签字）：</w:t>
            </w:r>
          </w:p>
          <w:p w14:paraId="239E11C0">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电话：</w:t>
            </w:r>
          </w:p>
          <w:p w14:paraId="1C73C36A">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开户银行：</w:t>
            </w:r>
          </w:p>
          <w:p w14:paraId="218F4F92">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帐号：</w:t>
            </w:r>
          </w:p>
        </w:tc>
        <w:tc>
          <w:tcPr>
            <w:tcW w:w="4643" w:type="dxa"/>
            <w:noWrap w:val="0"/>
            <w:vAlign w:val="top"/>
          </w:tcPr>
          <w:p w14:paraId="0717E23A">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乙方名称</w:t>
            </w:r>
            <w:r>
              <w:rPr>
                <w:rFonts w:hint="eastAsia" w:ascii="宋体" w:hAnsi="宋体" w:cs="宋体"/>
                <w:spacing w:val="-20"/>
                <w:kern w:val="0"/>
                <w:sz w:val="24"/>
              </w:rPr>
              <w:t>（盖章）</w:t>
            </w:r>
            <w:r>
              <w:rPr>
                <w:rFonts w:hint="eastAsia" w:ascii="宋体" w:hAnsi="宋体" w:cs="宋体"/>
                <w:kern w:val="0"/>
                <w:sz w:val="24"/>
              </w:rPr>
              <w:t>:</w:t>
            </w:r>
          </w:p>
          <w:p w14:paraId="50F85B29">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地址：</w:t>
            </w:r>
          </w:p>
          <w:p w14:paraId="5607DEFF">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代表人（签字）：</w:t>
            </w:r>
          </w:p>
          <w:p w14:paraId="5BAD5D9A">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电话：</w:t>
            </w:r>
          </w:p>
          <w:p w14:paraId="235DBCD7">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开户银行：</w:t>
            </w:r>
          </w:p>
          <w:p w14:paraId="277D9261">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帐号：</w:t>
            </w:r>
          </w:p>
        </w:tc>
      </w:tr>
      <w:tr w14:paraId="62AD9178">
        <w:tblPrEx>
          <w:tblCellMar>
            <w:top w:w="0" w:type="dxa"/>
            <w:left w:w="108" w:type="dxa"/>
            <w:bottom w:w="0" w:type="dxa"/>
            <w:right w:w="108" w:type="dxa"/>
          </w:tblCellMar>
        </w:tblPrEx>
        <w:trPr>
          <w:trHeight w:val="1160" w:hRule="atLeast"/>
          <w:jc w:val="center"/>
        </w:trPr>
        <w:tc>
          <w:tcPr>
            <w:tcW w:w="4643" w:type="dxa"/>
            <w:noWrap w:val="0"/>
            <w:vAlign w:val="top"/>
          </w:tcPr>
          <w:p w14:paraId="1F4EDDE7">
            <w:pPr>
              <w:widowControl/>
              <w:autoSpaceDE w:val="0"/>
              <w:autoSpaceDN w:val="0"/>
              <w:snapToGrid w:val="0"/>
              <w:spacing w:line="360" w:lineRule="auto"/>
              <w:ind w:right="-154"/>
              <w:textAlignment w:val="bottom"/>
              <w:rPr>
                <w:rFonts w:hint="eastAsia" w:ascii="宋体" w:hAnsi="宋体" w:cs="宋体"/>
                <w:kern w:val="0"/>
                <w:sz w:val="24"/>
              </w:rPr>
            </w:pPr>
          </w:p>
        </w:tc>
        <w:tc>
          <w:tcPr>
            <w:tcW w:w="4643" w:type="dxa"/>
            <w:noWrap w:val="0"/>
            <w:vAlign w:val="top"/>
          </w:tcPr>
          <w:p w14:paraId="1892571E">
            <w:pPr>
              <w:widowControl/>
              <w:autoSpaceDE w:val="0"/>
              <w:autoSpaceDN w:val="0"/>
              <w:snapToGrid w:val="0"/>
              <w:spacing w:line="360" w:lineRule="auto"/>
              <w:ind w:right="-154"/>
              <w:textAlignment w:val="bottom"/>
              <w:rPr>
                <w:rFonts w:hint="eastAsia" w:ascii="宋体" w:hAnsi="宋体" w:cs="宋体"/>
                <w:kern w:val="0"/>
                <w:sz w:val="24"/>
              </w:rPr>
            </w:pPr>
          </w:p>
        </w:tc>
      </w:tr>
    </w:tbl>
    <w:p w14:paraId="0DDEA3A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725F71"/>
    <w:rsid w:val="2B725F71"/>
    <w:rsid w:val="5C0D2038"/>
    <w:rsid w:val="627A1CA7"/>
    <w:rsid w:val="6D692D53"/>
    <w:rsid w:val="7C174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2839</Words>
  <Characters>2899</Characters>
  <Lines>0</Lines>
  <Paragraphs>0</Paragraphs>
  <TotalTime>1</TotalTime>
  <ScaleCrop>false</ScaleCrop>
  <LinksUpToDate>false</LinksUpToDate>
  <CharactersWithSpaces>2971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2024-12-02T03:13:00Z</dcterms:created>
  <dc:creator>WPS_小小小小小小文</dc:creator>
  <cp:lastModifiedBy>186----7729</cp:lastModifiedBy>
  <dcterms:modified xsi:type="dcterms:W3CDTF">2026-07-31T09:50:09Z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BF7E7ACAC9414985A8D8EB8408819B33_11</vt:lpwstr>
  </property>
  <property fmtid="{D5CDD505-2E9C-101B-9397-08002B2CF9AE}" pid="4" name="KSOTemplateDocerSaveRecord">
    <vt:lpwstr>eyJoZGlkIjoiMDlkMWYzM2RjZTM0MmE5MGUzN2Y4YWQ4N2NhMGIyY2IiLCJ1c2VySWQiOiIxNDgzMDc5MzM5In0=</vt:lpwstr>
  </property>
</Properties>
</file>