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版本号：ZQX-ZC2026050120260704001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汉台区中心粮库绿色仓储提升改造项目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ZQX-ZC20260501</w:t>
      </w:r>
      <w:r>
        <w:br/>
      </w:r>
      <w:r>
        <w:br/>
      </w:r>
      <w:r>
        <w:br/>
      </w:r>
    </w:p>
    <w:p>
      <w:pPr>
        <w:pStyle w:val="null3"/>
        <w:jc w:val="center"/>
        <w:outlineLvl w:val="2"/>
      </w:pPr>
      <w:r>
        <w:rPr>
          <w:rFonts w:ascii="仿宋_GB2312" w:hAnsi="仿宋_GB2312" w:cs="仿宋_GB2312" w:eastAsia="仿宋_GB2312"/>
          <w:sz w:val="28"/>
          <w:b/>
        </w:rPr>
        <w:t>汉中市汉台区发展和改革局</w:t>
      </w:r>
    </w:p>
    <w:p>
      <w:pPr>
        <w:pStyle w:val="null3"/>
        <w:jc w:val="center"/>
        <w:outlineLvl w:val="2"/>
      </w:pPr>
      <w:r>
        <w:rPr>
          <w:rFonts w:ascii="仿宋_GB2312" w:hAnsi="仿宋_GB2312" w:cs="仿宋_GB2312" w:eastAsia="仿宋_GB2312"/>
          <w:sz w:val="28"/>
          <w:b/>
        </w:rPr>
        <w:t>中启信项目咨询有限公司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中启信项目咨询有限公司</w:t>
      </w:r>
      <w:r>
        <w:rPr>
          <w:rFonts w:ascii="仿宋_GB2312" w:hAnsi="仿宋_GB2312" w:cs="仿宋_GB2312" w:eastAsia="仿宋_GB2312"/>
        </w:rPr>
        <w:t>（以下简称“代理机构”）受</w:t>
      </w:r>
      <w:r>
        <w:rPr>
          <w:rFonts w:ascii="仿宋_GB2312" w:hAnsi="仿宋_GB2312" w:cs="仿宋_GB2312" w:eastAsia="仿宋_GB2312"/>
        </w:rPr>
        <w:t>汉中市汉台区发展和改革局</w:t>
      </w:r>
      <w:r>
        <w:rPr>
          <w:rFonts w:ascii="仿宋_GB2312" w:hAnsi="仿宋_GB2312" w:cs="仿宋_GB2312" w:eastAsia="仿宋_GB2312"/>
        </w:rPr>
        <w:t>委托，拟对</w:t>
      </w:r>
      <w:r>
        <w:rPr>
          <w:rFonts w:ascii="仿宋_GB2312" w:hAnsi="仿宋_GB2312" w:cs="仿宋_GB2312" w:eastAsia="仿宋_GB2312"/>
        </w:rPr>
        <w:t>汉台区中心粮库绿色仓储提升改造项目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ZQX-ZC20260501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汉台区中心粮库绿色仓储提升改造项目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台区中心粮库绿色仓储提升改造项目，该项目建设地址为陕西省汉中市汉台区，建设内容对现有平房仓A一栋；平房仓B二栋进行改造，改造内容为更换外门窗、屋面增加菱美板保温层、增加一体化空调等，本次改造在现有仓房现，状上改造，不破坏仓房整体结构；拆除原有地磅房，新建一栋成品地磅房、化验室；硬化地面改造面积为 480 平方米等内容。工艺改造主要包括仓房仓储方案升级改造、粮食接发和清理除尘设施升级改造、检化验设备升级改造、环流熏蒸系统升级改造等。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采购包1（汉台区中心粮库绿色仓储提升改造项目）：属于专门面向中小企业采购。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供应商资质及拟派项目负责人资格：供应商须具有建设行政主管部门颁发的建筑工程施工总承包三级及以上资质，具有有效的安全生产许可证；拟派项目经理须具有建筑工程专业注册建造师二级及以上资格和安全生产考核合格B证，且无在建项目；</w:t>
      </w:r>
    </w:p>
    <w:p>
      <w:pPr>
        <w:pStyle w:val="null3"/>
      </w:pPr>
      <w:r>
        <w:rPr>
          <w:rFonts w:ascii="仿宋_GB2312" w:hAnsi="仿宋_GB2312" w:cs="仿宋_GB2312" w:eastAsia="仿宋_GB2312"/>
        </w:rPr>
        <w:t>4、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pPr>
      <w:r>
        <w:rPr>
          <w:rFonts w:ascii="仿宋_GB2312" w:hAnsi="仿宋_GB2312" w:cs="仿宋_GB2312" w:eastAsia="仿宋_GB2312"/>
        </w:rPr>
        <w:t>5、非联合体投标承诺函：本项目不接受联合体投标，单位负责人为同一人或者存在直接控股、管理关系的不同单位，不得同时参加本项目投标（提供书面承诺函）。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汉中市汉台区发展和改革局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汉台区中山街80号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汉中市汉台区发展和改革局经办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18992659058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中启信项目咨询有限公司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陕西省西安市雁塔区南二环路西段88号老三届世纪星大度15E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13389282762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采购包1：1,994,286.55元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开户名称：中启信项目咨询有限公司</w:t>
            </w:r>
          </w:p>
          <w:p>
            <w:pPr>
              <w:pStyle w:val="null3"/>
            </w:pPr>
            <w:r>
              <w:rPr>
                <w:rFonts w:ascii="仿宋_GB2312" w:hAnsi="仿宋_GB2312" w:cs="仿宋_GB2312" w:eastAsia="仿宋_GB2312"/>
              </w:rPr>
              <w:t>开户银行：中国建设银行股份有限公司西安兴庆路支行</w:t>
            </w:r>
          </w:p>
          <w:p>
            <w:pPr>
              <w:pStyle w:val="null3"/>
            </w:pPr>
            <w:r>
              <w:rPr>
                <w:rFonts w:ascii="仿宋_GB2312" w:hAnsi="仿宋_GB2312" w:cs="仿宋_GB2312" w:eastAsia="仿宋_GB2312"/>
              </w:rPr>
              <w:t>银行账号：6105 0173 0012 0000 2516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标代理服务收费管理暂行办法的通知》(计价格【2002】1980号)和国家发改委办公厅国发的《关于招标代理服务收费有关问题的通知》(发改办价格【2003】857号)文件规定的收费标准,中标/成交供应商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汉中市汉台区发展和改革局</w:t>
      </w:r>
      <w:r>
        <w:rPr>
          <w:rFonts w:ascii="仿宋_GB2312" w:hAnsi="仿宋_GB2312" w:cs="仿宋_GB2312" w:eastAsia="仿宋_GB2312"/>
        </w:rPr>
        <w:t>和</w:t>
      </w:r>
      <w:r>
        <w:rPr>
          <w:rFonts w:ascii="仿宋_GB2312" w:hAnsi="仿宋_GB2312" w:cs="仿宋_GB2312" w:eastAsia="仿宋_GB2312"/>
        </w:rPr>
        <w:t>中启信项目咨询有限公司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汉中市汉台区发展和改革局</w:t>
      </w:r>
      <w:r>
        <w:rPr>
          <w:rFonts w:ascii="仿宋_GB2312" w:hAnsi="仿宋_GB2312" w:cs="仿宋_GB2312" w:eastAsia="仿宋_GB2312"/>
        </w:rPr>
        <w:t>负责解释。除上述磋商文件内容，其他内容由</w:t>
      </w:r>
      <w:r>
        <w:rPr>
          <w:rFonts w:ascii="仿宋_GB2312" w:hAnsi="仿宋_GB2312" w:cs="仿宋_GB2312" w:eastAsia="仿宋_GB2312"/>
        </w:rPr>
        <w:t>中启信项目咨询有限公司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汉中市汉台区发展和改革局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中启信项目咨询有限公司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联系人：张玮</w:t>
      </w:r>
    </w:p>
    <w:p>
      <w:pPr>
        <w:pStyle w:val="null3"/>
      </w:pPr>
      <w:r>
        <w:rPr>
          <w:rFonts w:ascii="仿宋_GB2312" w:hAnsi="仿宋_GB2312" w:cs="仿宋_GB2312" w:eastAsia="仿宋_GB2312"/>
        </w:rPr>
        <w:t>联系电话：13389282876</w:t>
      </w:r>
    </w:p>
    <w:p>
      <w:pPr>
        <w:pStyle w:val="null3"/>
      </w:pPr>
      <w:r>
        <w:rPr>
          <w:rFonts w:ascii="仿宋_GB2312" w:hAnsi="仿宋_GB2312" w:cs="仿宋_GB2312" w:eastAsia="仿宋_GB2312"/>
        </w:rPr>
        <w:t>地址：西省西安市雁塔区南二环路西段88号老三届世纪星大度15E</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1,994,286.55</w:t>
      </w:r>
    </w:p>
    <w:p>
      <w:pPr>
        <w:pStyle w:val="null3"/>
      </w:pPr>
      <w:r>
        <w:rPr>
          <w:rFonts w:ascii="仿宋_GB2312" w:hAnsi="仿宋_GB2312" w:cs="仿宋_GB2312" w:eastAsia="仿宋_GB2312"/>
        </w:rPr>
        <w:t>采购包最高限价（元）: 1,994,286.55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汉台区中心粮库绿色仓储提升改造项目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1,994,286.55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标的名称：汉台区中心粮库绿色仓储提升改造项目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一、工程概况</w:t>
            </w:r>
          </w:p>
          <w:p>
            <w:pPr>
              <w:pStyle w:val="null3"/>
              <w:ind w:firstLine="560"/>
              <w:jc w:val="left"/>
            </w:pPr>
            <w:r>
              <w:rPr>
                <w:rFonts w:ascii="仿宋_GB2312" w:hAnsi="仿宋_GB2312" w:cs="仿宋_GB2312" w:eastAsia="仿宋_GB2312"/>
                <w:sz w:val="21"/>
              </w:rPr>
              <w:t>汉台区中心粮库绿色仓储提升改造项目，</w:t>
            </w:r>
            <w:r>
              <w:rPr>
                <w:rFonts w:ascii="仿宋_GB2312" w:hAnsi="仿宋_GB2312" w:cs="仿宋_GB2312" w:eastAsia="仿宋_GB2312"/>
                <w:sz w:val="21"/>
              </w:rPr>
              <w:t>该项目建设地址为陕西省汉中市汉台区，建设内容对现有平房仓</w:t>
            </w:r>
            <w:r>
              <w:rPr>
                <w:rFonts w:ascii="仿宋_GB2312" w:hAnsi="仿宋_GB2312" w:cs="仿宋_GB2312" w:eastAsia="仿宋_GB2312"/>
                <w:sz w:val="21"/>
              </w:rPr>
              <w:t>A</w:t>
            </w:r>
            <w:r>
              <w:rPr>
                <w:rFonts w:ascii="仿宋_GB2312" w:hAnsi="仿宋_GB2312" w:cs="仿宋_GB2312" w:eastAsia="仿宋_GB2312"/>
                <w:sz w:val="21"/>
              </w:rPr>
              <w:t>一栋；平房仓</w:t>
            </w:r>
            <w:r>
              <w:rPr>
                <w:rFonts w:ascii="仿宋_GB2312" w:hAnsi="仿宋_GB2312" w:cs="仿宋_GB2312" w:eastAsia="仿宋_GB2312"/>
                <w:sz w:val="21"/>
              </w:rPr>
              <w:t>B</w:t>
            </w:r>
            <w:r>
              <w:rPr>
                <w:rFonts w:ascii="仿宋_GB2312" w:hAnsi="仿宋_GB2312" w:cs="仿宋_GB2312" w:eastAsia="仿宋_GB2312"/>
                <w:sz w:val="21"/>
              </w:rPr>
              <w:t xml:space="preserve">二栋进行改造，改造内容为更换外门窗、屋面增加菱美板保温层、增加一体化空调等，本次改造在现有仓房现，状上改造，不破坏仓房整体结构；拆除原有地磅房，新建一栋成品地磅房、化验室；硬化地面改造面积为 </w:t>
            </w:r>
            <w:r>
              <w:rPr>
                <w:rFonts w:ascii="仿宋_GB2312" w:hAnsi="仿宋_GB2312" w:cs="仿宋_GB2312" w:eastAsia="仿宋_GB2312"/>
                <w:sz w:val="21"/>
              </w:rPr>
              <w:t xml:space="preserve">480 </w:t>
            </w:r>
            <w:r>
              <w:rPr>
                <w:rFonts w:ascii="仿宋_GB2312" w:hAnsi="仿宋_GB2312" w:cs="仿宋_GB2312" w:eastAsia="仿宋_GB2312"/>
                <w:sz w:val="21"/>
              </w:rPr>
              <w:t>平方米等内容。工艺改造主要包括仓房仓储方案升级改造、粮食接发和清理除尘设施升级改造、检化验设备升级改造、环流熏蒸系统升级改造等。</w:t>
            </w:r>
          </w:p>
          <w:p>
            <w:pPr>
              <w:pStyle w:val="null3"/>
              <w:jc w:val="both"/>
            </w:pPr>
            <w:r>
              <w:rPr>
                <w:rFonts w:ascii="仿宋_GB2312" w:hAnsi="仿宋_GB2312" w:cs="仿宋_GB2312" w:eastAsia="仿宋_GB2312"/>
                <w:sz w:val="21"/>
                <w:b/>
              </w:rPr>
              <w:t>二、编制依据</w:t>
            </w:r>
          </w:p>
          <w:p>
            <w:pPr>
              <w:pStyle w:val="null3"/>
              <w:ind w:firstLine="560"/>
              <w:jc w:val="both"/>
            </w:pPr>
            <w:r>
              <w:rPr>
                <w:rFonts w:ascii="仿宋_GB2312" w:hAnsi="仿宋_GB2312" w:cs="仿宋_GB2312" w:eastAsia="仿宋_GB2312"/>
                <w:sz w:val="21"/>
              </w:rPr>
              <w:t>1、</w:t>
            </w:r>
            <w:r>
              <w:rPr>
                <w:rFonts w:ascii="仿宋_GB2312" w:hAnsi="仿宋_GB2312" w:cs="仿宋_GB2312" w:eastAsia="仿宋_GB2312"/>
                <w:sz w:val="21"/>
              </w:rPr>
              <w:t>《陕西省住房和城乡建设厅关于印发</w:t>
            </w:r>
            <w:r>
              <w:rPr>
                <w:rFonts w:ascii="仿宋_GB2312" w:hAnsi="仿宋_GB2312" w:cs="仿宋_GB2312" w:eastAsia="仿宋_GB2312"/>
                <w:sz w:val="21"/>
              </w:rPr>
              <w:t>2025陕西省建设工程费用规则等计价依据的通知》陕建管发〔2025〕10号文件；</w:t>
            </w:r>
          </w:p>
          <w:p>
            <w:pPr>
              <w:pStyle w:val="null3"/>
              <w:ind w:firstLine="560"/>
              <w:jc w:val="both"/>
            </w:pPr>
            <w:r>
              <w:rPr>
                <w:rFonts w:ascii="仿宋_GB2312" w:hAnsi="仿宋_GB2312" w:cs="仿宋_GB2312" w:eastAsia="仿宋_GB2312"/>
                <w:sz w:val="21"/>
              </w:rPr>
              <w:t>2、</w:t>
            </w:r>
            <w:r>
              <w:rPr>
                <w:rFonts w:ascii="仿宋_GB2312" w:hAnsi="仿宋_GB2312" w:cs="仿宋_GB2312" w:eastAsia="仿宋_GB2312"/>
                <w:sz w:val="21"/>
              </w:rPr>
              <w:t>《陕西省建设工程费用规则》（</w:t>
            </w:r>
            <w:r>
              <w:rPr>
                <w:rFonts w:ascii="仿宋_GB2312" w:hAnsi="仿宋_GB2312" w:cs="仿宋_GB2312" w:eastAsia="仿宋_GB2312"/>
                <w:sz w:val="21"/>
              </w:rPr>
              <w:t>2025）、《建设工程工程量清单计价标准》（2025）、《房屋建筑与装修工程工程量计算标准》、《通用安装工程工程量计算标准》及其配套文件；</w:t>
            </w:r>
          </w:p>
          <w:p>
            <w:pPr>
              <w:pStyle w:val="null3"/>
              <w:ind w:firstLine="560"/>
              <w:jc w:val="both"/>
            </w:pPr>
            <w:r>
              <w:rPr>
                <w:rFonts w:ascii="仿宋_GB2312" w:hAnsi="仿宋_GB2312" w:cs="仿宋_GB2312" w:eastAsia="仿宋_GB2312"/>
                <w:sz w:val="21"/>
              </w:rPr>
              <w:t>3、</w:t>
            </w:r>
            <w:r>
              <w:rPr>
                <w:rFonts w:ascii="仿宋_GB2312" w:hAnsi="仿宋_GB2312" w:cs="仿宋_GB2312" w:eastAsia="仿宋_GB2312"/>
                <w:sz w:val="21"/>
              </w:rPr>
              <w:t>《陕西省房屋建筑与装饰工程消耗量定额》（</w:t>
            </w:r>
            <w:r>
              <w:rPr>
                <w:rFonts w:ascii="仿宋_GB2312" w:hAnsi="仿宋_GB2312" w:cs="仿宋_GB2312" w:eastAsia="仿宋_GB2312"/>
                <w:sz w:val="21"/>
              </w:rPr>
              <w:t>2025）、《陕西省通用安装工程消耗量定额》（2025）、《陕西省建设工程施工机械台班费用定额》（2025）；</w:t>
            </w:r>
          </w:p>
          <w:p>
            <w:pPr>
              <w:pStyle w:val="null3"/>
              <w:ind w:firstLine="560"/>
              <w:jc w:val="both"/>
            </w:pPr>
            <w:r>
              <w:rPr>
                <w:rFonts w:ascii="仿宋_GB2312" w:hAnsi="仿宋_GB2312" w:cs="仿宋_GB2312" w:eastAsia="仿宋_GB2312"/>
                <w:sz w:val="21"/>
              </w:rPr>
              <w:t>4、</w:t>
            </w:r>
            <w:r>
              <w:rPr>
                <w:rFonts w:ascii="仿宋_GB2312" w:hAnsi="仿宋_GB2312" w:cs="仿宋_GB2312" w:eastAsia="仿宋_GB2312"/>
                <w:sz w:val="21"/>
              </w:rPr>
              <w:t>《陕西省房屋建筑与装饰工程基价表》（</w:t>
            </w:r>
            <w:r>
              <w:rPr>
                <w:rFonts w:ascii="仿宋_GB2312" w:hAnsi="仿宋_GB2312" w:cs="仿宋_GB2312" w:eastAsia="仿宋_GB2312"/>
                <w:sz w:val="21"/>
              </w:rPr>
              <w:t>2025）、《陕西省通用安装工程基价表》（2025）；</w:t>
            </w:r>
          </w:p>
          <w:p>
            <w:pPr>
              <w:pStyle w:val="null3"/>
              <w:ind w:firstLine="560"/>
              <w:jc w:val="both"/>
            </w:pPr>
            <w:r>
              <w:rPr>
                <w:rFonts w:ascii="仿宋_GB2312" w:hAnsi="仿宋_GB2312" w:cs="仿宋_GB2312" w:eastAsia="仿宋_GB2312"/>
                <w:sz w:val="21"/>
              </w:rPr>
              <w:t>5、</w:t>
            </w:r>
            <w:r>
              <w:rPr>
                <w:rFonts w:ascii="仿宋_GB2312" w:hAnsi="仿宋_GB2312" w:cs="仿宋_GB2312" w:eastAsia="仿宋_GB2312"/>
                <w:sz w:val="21"/>
              </w:rPr>
              <w:t>《汉中建设工程造价信息（</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）》第</w:t>
            </w:r>
            <w:r>
              <w:rPr>
                <w:rFonts w:ascii="仿宋_GB2312" w:hAnsi="仿宋_GB2312" w:cs="仿宋_GB2312" w:eastAsia="仿宋_GB2312"/>
                <w:sz w:val="21"/>
              </w:rPr>
              <w:t>3</w:t>
            </w:r>
            <w:r>
              <w:rPr>
                <w:rFonts w:ascii="仿宋_GB2312" w:hAnsi="仿宋_GB2312" w:cs="仿宋_GB2312" w:eastAsia="仿宋_GB2312"/>
                <w:sz w:val="21"/>
              </w:rPr>
              <w:t>期信息价及市场询价</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中粮工科（西安）国际有限公司</w:t>
            </w:r>
            <w:r>
              <w:rPr>
                <w:rFonts w:ascii="仿宋_GB2312" w:hAnsi="仿宋_GB2312" w:cs="仿宋_GB2312" w:eastAsia="仿宋_GB2312"/>
                <w:sz w:val="21"/>
              </w:rPr>
              <w:t>设计的施工图纸；</w:t>
            </w:r>
          </w:p>
          <w:p>
            <w:pPr>
              <w:pStyle w:val="null3"/>
              <w:ind w:firstLine="560"/>
              <w:jc w:val="both"/>
            </w:pPr>
            <w:r>
              <w:rPr>
                <w:rFonts w:ascii="仿宋_GB2312" w:hAnsi="仿宋_GB2312" w:cs="仿宋_GB2312" w:eastAsia="仿宋_GB2312"/>
                <w:sz w:val="21"/>
              </w:rPr>
              <w:t>9</w:t>
            </w:r>
            <w:r>
              <w:rPr>
                <w:rFonts w:ascii="仿宋_GB2312" w:hAnsi="仿宋_GB2312" w:cs="仿宋_GB2312" w:eastAsia="仿宋_GB2312"/>
                <w:sz w:val="21"/>
              </w:rPr>
              <w:t>、正常的施工组织设计及方法；</w:t>
            </w:r>
          </w:p>
          <w:p>
            <w:pPr>
              <w:pStyle w:val="null3"/>
              <w:ind w:firstLine="560"/>
              <w:jc w:val="both"/>
            </w:pPr>
            <w:r>
              <w:rPr>
                <w:rFonts w:ascii="仿宋_GB2312" w:hAnsi="仿宋_GB2312" w:cs="仿宋_GB2312" w:eastAsia="仿宋_GB2312"/>
                <w:sz w:val="21"/>
              </w:rPr>
              <w:t>10、</w:t>
            </w:r>
            <w:r>
              <w:rPr>
                <w:rFonts w:ascii="仿宋_GB2312" w:hAnsi="仿宋_GB2312" w:cs="仿宋_GB2312" w:eastAsia="仿宋_GB2312"/>
                <w:sz w:val="21"/>
              </w:rPr>
              <w:t>广联达</w:t>
            </w:r>
            <w:r>
              <w:rPr>
                <w:rFonts w:ascii="仿宋_GB2312" w:hAnsi="仿宋_GB2312" w:cs="仿宋_GB2312" w:eastAsia="仿宋_GB2312"/>
                <w:sz w:val="21"/>
              </w:rPr>
              <w:t>GCCP7.0编制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三、编制说明</w:t>
            </w:r>
          </w:p>
          <w:p>
            <w:pPr>
              <w:pStyle w:val="null3"/>
              <w:jc w:val="left"/>
            </w:pPr>
            <w:r>
              <w:rPr>
                <w:rFonts w:ascii="仿宋_GB2312" w:hAnsi="仿宋_GB2312" w:cs="仿宋_GB2312" w:eastAsia="仿宋_GB2312"/>
                <w:sz w:val="21"/>
              </w:rPr>
              <w:t>1、本次建筑垃圾外运运距暂按5km</w:t>
            </w:r>
            <w:r>
              <w:rPr>
                <w:rFonts w:ascii="仿宋_GB2312" w:hAnsi="仿宋_GB2312" w:cs="仿宋_GB2312" w:eastAsia="仿宋_GB2312"/>
                <w:sz w:val="21"/>
              </w:rPr>
              <w:t>计</w:t>
            </w:r>
            <w:r>
              <w:rPr>
                <w:rFonts w:ascii="仿宋_GB2312" w:hAnsi="仿宋_GB2312" w:cs="仿宋_GB2312" w:eastAsia="仿宋_GB2312"/>
                <w:sz w:val="21"/>
              </w:rPr>
              <w:t>算</w:t>
            </w:r>
            <w:r>
              <w:rPr>
                <w:rFonts w:ascii="仿宋_GB2312" w:hAnsi="仿宋_GB2312" w:cs="仿宋_GB2312" w:eastAsia="仿宋_GB2312"/>
                <w:sz w:val="21"/>
              </w:rPr>
              <w:t>,</w:t>
            </w:r>
            <w:r>
              <w:rPr>
                <w:rFonts w:ascii="仿宋_GB2312" w:hAnsi="仿宋_GB2312" w:cs="仿宋_GB2312" w:eastAsia="仿宋_GB2312"/>
                <w:sz w:val="21"/>
              </w:rPr>
              <w:t>结算时据实结算。</w:t>
            </w:r>
          </w:p>
          <w:p>
            <w:pPr>
              <w:pStyle w:val="null3"/>
              <w:jc w:val="left"/>
            </w:pPr>
            <w:r>
              <w:rPr>
                <w:rFonts w:ascii="仿宋_GB2312" w:hAnsi="仿宋_GB2312" w:cs="仿宋_GB2312" w:eastAsia="仿宋_GB2312"/>
                <w:sz w:val="21"/>
              </w:rPr>
              <w:t>2、因地磅房拆除无相关图纸，为避免漏项，拆除暂时500元/㎡计入；新增成品地磅、实验室暂定80000元/項，结算时均据实结算。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1、工期：90日历天；2、质保期：1年。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供应商须具有建设行政主管部门颁发的建筑工程施工总承包三级及以上资质，具有有效的安全生产许可证；拟派项目经理须具有建筑工程专业注册建造师二级及以上资格和安全生产考核合格B证，且无在建项目；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已标价工程量清单 项目管理机构组成表 中小企业声明函 报价函 技术服务合同条款及其他商务要求应答表 标的清单 供应商类似项目业绩一览表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响应文件未出现磋商文件、法律法规规定的无效响应情形</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 响应人提供本项目施工方案，包括①施工方法（工艺）；②施工组织和施工程序；③现场平面布置；④技术组织措施。 二、赋分标准 1、完整性：方案内容完整全面，对上述各项内容均有描述，得4分；缺1项，得3.0分；缺2项，得2.0分；缺3项，得1.0分。 2、针对性：针对性强，得4分；针对性一般，得2.0分；缺乏针对性，得1.0分。 3、可实施性：可实施性强，得4.0分；可实施性一般，得2.0分；缺乏可实施性，得1.0分。 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响应人提供本项目施工进度计划，包括①施工进度计划横道图；②进度计划保证措施；③工期保证措施。 二、赋分标准 1、完整性：方案内容完整全面，对上述各项内容均有描述，得3分；缺1项，得2.0分；缺2项，得1.0分；缺3项，得0分。 2、针对性：针对性强，得3分；针对性一般，得1.5分；缺乏针对性，得0.5分。 3、可实施性：可实施性强，得3.0分；可实施性一般，得1.5分；缺乏可实施性，得0.5分。 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响应人提供本项目质量保证措施，包括①工程质量目标；②施工质量保证措施；③施工质量管理与控制方案。 二、赋分标准 1、完整性：方案内容完整全面，对上述各项内容均有描述，得3分；缺1项，得2.0分；缺2项，得1.0分；缺3项，得0分。 2、针对性：针对性强，得3分；针对性一般，得1.5分；缺乏针对性，得0.5分。 3、可实施性：可实施性强，得3.0分；可实施性一般，得1.5分；缺乏可实施性，得0.5分。 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响应人提供本项目安全施工措施，包括①安全生产管理制度；②安全施工措施；③安全应急预案；④安全生产教育。 二、赋分标准 1、完整性：方案内容完整全面，对上述各项内容均有描述，得2分；缺1项，得1.5分；缺2项，得1.0分；缺3项，得0.5分。 2、针对性：针对性强，得4分；针对性一般，得2.0分；缺乏针对性，得1.0分。 3、可实施性：可实施性强，得4.0分；可实施性一般，得2.0分；缺乏可实施性，得1.0分。 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 响应人提供本项目文明施工及环境保护措施，包括①文明施工管理目标及技术措施；②文明施工现场管理；③环境保护管理体系；④环保控制措施。 二、赋分标准 1、完整性：方案内容完整全面，对上述各项内容均有描述，得2分；缺1项，得1.5分；缺2项，得1.0分；缺3项，得0.5分。 2、针对性：针对性强，得4分；针对性一般，得2.0分；缺乏针对性，得1.0分。 3、可实施性：可实施性强，得4.0分；可实施性一般，得2.0分；缺乏可实施性，得1.0分。 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针对本项目提供具体人员配置清单（配备技术人员、施工员、安全员、资料员、材料员、质量员等）配备齐全。提供人员身份证、学历证、岗位证证明。提供以上清单中所有内容得6分，每人1分，提供不齐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注：业绩须提供中标通知书或施工合同（协议书）复印件并加盖单位公章。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响应人提供本项目的保修方案，包括①维修措施；②保修责任；③保修承诺。每提供一项承诺，计2分；未提供承诺不计分，最高得6分。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