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版本号：TZZB-HZ-2026091C20260429001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2026年度西乡县茶鲜叶原料分级试点建设项目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TZZB-HZ-2026091C</w:t>
      </w:r>
      <w:r>
        <w:br/>
      </w:r>
      <w:r>
        <w:br/>
      </w:r>
      <w:r>
        <w:br/>
      </w:r>
    </w:p>
    <w:p>
      <w:pPr>
        <w:pStyle w:val="null3"/>
        <w:jc w:val="center"/>
        <w:outlineLvl w:val="2"/>
      </w:pPr>
      <w:r>
        <w:rPr>
          <w:rFonts w:ascii="仿宋_GB2312" w:hAnsi="仿宋_GB2312" w:cs="仿宋_GB2312" w:eastAsia="仿宋_GB2312"/>
          <w:sz w:val="28"/>
          <w:b/>
        </w:rPr>
        <w:t>西乡县茶产业发展中心</w:t>
      </w:r>
    </w:p>
    <w:p>
      <w:pPr>
        <w:pStyle w:val="null3"/>
        <w:jc w:val="center"/>
        <w:outlineLvl w:val="2"/>
      </w:pPr>
      <w:r>
        <w:rPr>
          <w:rFonts w:ascii="仿宋_GB2312" w:hAnsi="仿宋_GB2312" w:cs="仿宋_GB2312" w:eastAsia="仿宋_GB2312"/>
          <w:sz w:val="28"/>
          <w:b/>
        </w:rPr>
        <w:t>同正项目管理有限公司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同正项目管理有限公司</w:t>
      </w:r>
      <w:r>
        <w:rPr>
          <w:rFonts w:ascii="仿宋_GB2312" w:hAnsi="仿宋_GB2312" w:cs="仿宋_GB2312" w:eastAsia="仿宋_GB2312"/>
        </w:rPr>
        <w:t>（以下简称“代理机构”）受</w:t>
      </w:r>
      <w:r>
        <w:rPr>
          <w:rFonts w:ascii="仿宋_GB2312" w:hAnsi="仿宋_GB2312" w:cs="仿宋_GB2312" w:eastAsia="仿宋_GB2312"/>
        </w:rPr>
        <w:t>西乡县茶产业发展中心</w:t>
      </w:r>
      <w:r>
        <w:rPr>
          <w:rFonts w:ascii="仿宋_GB2312" w:hAnsi="仿宋_GB2312" w:cs="仿宋_GB2312" w:eastAsia="仿宋_GB2312"/>
        </w:rPr>
        <w:t>委托，拟对</w:t>
      </w:r>
      <w:r>
        <w:rPr>
          <w:rFonts w:ascii="仿宋_GB2312" w:hAnsi="仿宋_GB2312" w:cs="仿宋_GB2312" w:eastAsia="仿宋_GB2312"/>
        </w:rPr>
        <w:t>2026年度西乡县茶鲜叶原料分级试点建设项目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TZZB-HZ-2026091C</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2026年度西乡县茶鲜叶原料分级试点建设项目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在全县范围内设置茶鲜叶原料分级试点5个，购置鲜叶色选机5台（套）进行示范推广。</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采购包1（2026年度西乡县茶鲜叶原料分级试点建设项目）：属于专门面向中小企业采购。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1、有效的主体资格证明：供应商为具有独立承担民事责任能力的法人或其他组织或自然人，并出具合法有效的营业执照等国家规定的相关证明，自然人参与的提供其身份证明；</w:t>
      </w:r>
    </w:p>
    <w:p>
      <w:pPr>
        <w:pStyle w:val="null3"/>
      </w:pPr>
      <w:r>
        <w:rPr>
          <w:rFonts w:ascii="仿宋_GB2312" w:hAnsi="仿宋_GB2312" w:cs="仿宋_GB2312" w:eastAsia="仿宋_GB2312"/>
        </w:rPr>
        <w:t>2、汉中市政府采购供应商资格承诺函：供应商须提供《汉中市政府采购供应商资格承诺函》；</w:t>
      </w:r>
    </w:p>
    <w:p>
      <w:pPr>
        <w:pStyle w:val="null3"/>
      </w:pPr>
      <w:r>
        <w:rPr>
          <w:rFonts w:ascii="仿宋_GB2312" w:hAnsi="仿宋_GB2312" w:cs="仿宋_GB2312" w:eastAsia="仿宋_GB2312"/>
        </w:rPr>
        <w:t>3、投标人授权合法的人员参加投标全过程：法定代表人直接参加投标的，须出具法人身份证（附法定代表人身份证复印件）；法定代表人授权代表参加投标的，须出具法定代表人授权书及授权代表身份证（附法定代表人身份证复印件及被授权人身份证复印件）。</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西乡县茶产业发展中心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西乡县汉白路西段1号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刘仲贤</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0916-6222310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同正项目管理有限公司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汉中市汉台区西一环路蓝天御苑小区商铺二层门面房南侧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0916-8897702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华老师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0916-8151150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说明：递交时间：领取中标通知书后，签订合同前</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代理服务费收费标准：1.按合同约定，招标代理服务费15000元。 2.采购代理服务费以转账形式缴纳至以下账户 缴纳账户户名：同正项目管理有限公司汉中分公司； 开户行：中国建设银行股份有限公司汉中北环路支行； 账号：6105 0165 5200 0000 0101 ； 汇款备注：项目名称</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西乡县茶产业发展中心</w:t>
      </w:r>
      <w:r>
        <w:rPr>
          <w:rFonts w:ascii="仿宋_GB2312" w:hAnsi="仿宋_GB2312" w:cs="仿宋_GB2312" w:eastAsia="仿宋_GB2312"/>
        </w:rPr>
        <w:t>和</w:t>
      </w:r>
      <w:r>
        <w:rPr>
          <w:rFonts w:ascii="仿宋_GB2312" w:hAnsi="仿宋_GB2312" w:cs="仿宋_GB2312" w:eastAsia="仿宋_GB2312"/>
        </w:rPr>
        <w:t>同正项目管理有限公司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西乡县茶产业发展中心</w:t>
      </w:r>
      <w:r>
        <w:rPr>
          <w:rFonts w:ascii="仿宋_GB2312" w:hAnsi="仿宋_GB2312" w:cs="仿宋_GB2312" w:eastAsia="仿宋_GB2312"/>
        </w:rPr>
        <w:t>负责解释。除上述招标文件内容，其他内容由</w:t>
      </w:r>
      <w:r>
        <w:rPr>
          <w:rFonts w:ascii="仿宋_GB2312" w:hAnsi="仿宋_GB2312" w:cs="仿宋_GB2312" w:eastAsia="仿宋_GB2312"/>
        </w:rPr>
        <w:t>同正项目管理有限公司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西乡县茶产业发展中心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同正项目管理有限公司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依据政府采购相关条例、招标文件、投标文件、合同及对应国家、 行业现行技术标准，技术、商务验收全部达标即合格。</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联系人：王丽</w:t>
      </w:r>
    </w:p>
    <w:p>
      <w:pPr>
        <w:pStyle w:val="null3"/>
      </w:pPr>
      <w:r>
        <w:rPr>
          <w:rFonts w:ascii="仿宋_GB2312" w:hAnsi="仿宋_GB2312" w:cs="仿宋_GB2312" w:eastAsia="仿宋_GB2312"/>
        </w:rPr>
        <w:t>联系电话：0916-8897702</w:t>
      </w:r>
    </w:p>
    <w:p>
      <w:pPr>
        <w:pStyle w:val="null3"/>
      </w:pPr>
      <w:r>
        <w:rPr>
          <w:rFonts w:ascii="仿宋_GB2312" w:hAnsi="仿宋_GB2312" w:cs="仿宋_GB2312" w:eastAsia="仿宋_GB2312"/>
        </w:rPr>
        <w:t>地址：汉中市汉台区西一环路蓝天御苑小区商铺二层门面房南侧</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在全县范围内设置茶鲜叶原料分级试点5个，购置鲜叶色选机5台（套）进行示范推广。</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1,200,000.00</w:t>
      </w:r>
    </w:p>
    <w:p>
      <w:pPr>
        <w:pStyle w:val="null3"/>
      </w:pPr>
      <w:r>
        <w:rPr>
          <w:rFonts w:ascii="仿宋_GB2312" w:hAnsi="仿宋_GB2312" w:cs="仿宋_GB2312" w:eastAsia="仿宋_GB2312"/>
        </w:rPr>
        <w:t>采购包最高限价（元）: 1,200,000.00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2026年度西乡县茶鲜叶原料分级试点建设项目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标的名称：2026年度西乡县茶鲜叶原料分级试点建设项目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20"/>
              <w:tblBorders>
                <w:top w:val="none" w:color="000000" w:sz="4"/>
                <w:left w:val="none" w:color="000000" w:sz="4"/>
                <w:bottom w:val="none" w:color="000000" w:sz="4"/>
                <w:right w:val="none" w:color="000000" w:sz="4"/>
                <w:insideH w:val="none"/>
                <w:insideV w:val="none"/>
              </w:tblBorders>
            </w:tblPr>
            <w:tblGrid>
              <w:gridCol w:w="543"/>
              <w:gridCol w:w="1478"/>
              <w:gridCol w:w="256"/>
              <w:gridCol w:w="265"/>
            </w:tblGrid>
            <w:tr>
              <w:tc>
                <w:tcPr>
                  <w:tcW w:type="dxa" w:w="5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标的名称</w:t>
                  </w:r>
                </w:p>
              </w:tc>
              <w:tc>
                <w:tcPr>
                  <w:tcW w:type="dxa" w:w="14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主要技术参数</w:t>
                  </w:r>
                </w:p>
              </w:tc>
              <w:tc>
                <w:tcPr>
                  <w:tcW w:type="dxa" w:w="2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数量</w:t>
                  </w:r>
                </w:p>
              </w:tc>
              <w:tc>
                <w:tcPr>
                  <w:tcW w:type="dxa" w:w="2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单位</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茶鲜叶色选机</w:t>
                  </w:r>
                </w:p>
              </w:tc>
              <w:tc>
                <w:tcPr>
                  <w:tcW w:type="dxa" w:w="1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▲1.针对茶鲜叶进行精准选别，实现茶鲜叶一进三出分级；</w:t>
                  </w:r>
                </w:p>
                <w:p>
                  <w:pPr>
                    <w:pStyle w:val="null3"/>
                    <w:jc w:val="both"/>
                  </w:pPr>
                  <w:r>
                    <w:rPr>
                      <w:rFonts w:ascii="仿宋_GB2312" w:hAnsi="仿宋_GB2312" w:cs="仿宋_GB2312" w:eastAsia="仿宋_GB2312"/>
                      <w:sz w:val="18"/>
                    </w:rPr>
                    <w:t>2.双通道及以上配置，每个分选通道剔除单元数≥64个；</w:t>
                  </w:r>
                </w:p>
                <w:p>
                  <w:pPr>
                    <w:pStyle w:val="null3"/>
                    <w:jc w:val="both"/>
                  </w:pPr>
                  <w:r>
                    <w:rPr>
                      <w:rFonts w:ascii="仿宋_GB2312" w:hAnsi="仿宋_GB2312" w:cs="仿宋_GB2312" w:eastAsia="仿宋_GB2312"/>
                      <w:sz w:val="18"/>
                    </w:rPr>
                    <w:t>3.配置工业相机数量2个；</w:t>
                  </w:r>
                </w:p>
                <w:p>
                  <w:pPr>
                    <w:pStyle w:val="null3"/>
                    <w:jc w:val="both"/>
                  </w:pPr>
                  <w:r>
                    <w:rPr>
                      <w:rFonts w:ascii="仿宋_GB2312" w:hAnsi="仿宋_GB2312" w:cs="仿宋_GB2312" w:eastAsia="仿宋_GB2312"/>
                      <w:sz w:val="18"/>
                    </w:rPr>
                    <w:t>4.采用线阵像元数≥5400的工业级专用彩色传感器，镜头分辨率≥300线对/毫米；</w:t>
                  </w:r>
                </w:p>
                <w:p>
                  <w:pPr>
                    <w:pStyle w:val="null3"/>
                    <w:jc w:val="both"/>
                  </w:pPr>
                  <w:r>
                    <w:rPr>
                      <w:rFonts w:ascii="仿宋_GB2312" w:hAnsi="仿宋_GB2312" w:cs="仿宋_GB2312" w:eastAsia="仿宋_GB2312"/>
                      <w:sz w:val="18"/>
                    </w:rPr>
                    <w:t>5.镜头超低畸变率≤0.3%；</w:t>
                  </w:r>
                </w:p>
                <w:p>
                  <w:pPr>
                    <w:pStyle w:val="null3"/>
                    <w:jc w:val="both"/>
                  </w:pPr>
                  <w:r>
                    <w:rPr>
                      <w:rFonts w:ascii="仿宋_GB2312" w:hAnsi="仿宋_GB2312" w:cs="仿宋_GB2312" w:eastAsia="仿宋_GB2312"/>
                      <w:sz w:val="18"/>
                    </w:rPr>
                    <w:t>6.色差≤0.01像素，设备内置背景板；</w:t>
                  </w:r>
                </w:p>
                <w:p>
                  <w:pPr>
                    <w:pStyle w:val="null3"/>
                    <w:jc w:val="both"/>
                  </w:pPr>
                  <w:r>
                    <w:rPr>
                      <w:rFonts w:ascii="仿宋_GB2312" w:hAnsi="仿宋_GB2312" w:cs="仿宋_GB2312" w:eastAsia="仿宋_GB2312"/>
                      <w:sz w:val="18"/>
                    </w:rPr>
                    <w:t>7.喷阀总数量≥256个；</w:t>
                  </w:r>
                </w:p>
                <w:p>
                  <w:pPr>
                    <w:pStyle w:val="null3"/>
                    <w:jc w:val="both"/>
                  </w:pPr>
                  <w:r>
                    <w:rPr>
                      <w:rFonts w:ascii="仿宋_GB2312" w:hAnsi="仿宋_GB2312" w:cs="仿宋_GB2312" w:eastAsia="仿宋_GB2312"/>
                      <w:sz w:val="18"/>
                    </w:rPr>
                    <w:t>8.茶鲜叶色选精度≥99%；</w:t>
                  </w:r>
                </w:p>
                <w:p>
                  <w:pPr>
                    <w:pStyle w:val="null3"/>
                    <w:jc w:val="both"/>
                  </w:pPr>
                  <w:r>
                    <w:rPr>
                      <w:rFonts w:ascii="仿宋_GB2312" w:hAnsi="仿宋_GB2312" w:cs="仿宋_GB2312" w:eastAsia="仿宋_GB2312"/>
                      <w:sz w:val="18"/>
                    </w:rPr>
                    <w:t>9.整机处理量≥150Kg/h，物料带出比≤3%；</w:t>
                  </w:r>
                </w:p>
                <w:p>
                  <w:pPr>
                    <w:pStyle w:val="null3"/>
                    <w:jc w:val="both"/>
                  </w:pPr>
                  <w:r>
                    <w:rPr>
                      <w:rFonts w:ascii="仿宋_GB2312" w:hAnsi="仿宋_GB2312" w:cs="仿宋_GB2312" w:eastAsia="仿宋_GB2312"/>
                      <w:sz w:val="18"/>
                    </w:rPr>
                    <w:t>10.整机额定功率≥2.7kW；</w:t>
                  </w:r>
                </w:p>
                <w:p>
                  <w:pPr>
                    <w:pStyle w:val="null3"/>
                    <w:jc w:val="both"/>
                  </w:pPr>
                  <w:r>
                    <w:rPr>
                      <w:rFonts w:ascii="仿宋_GB2312" w:hAnsi="仿宋_GB2312" w:cs="仿宋_GB2312" w:eastAsia="仿宋_GB2312"/>
                      <w:sz w:val="18"/>
                    </w:rPr>
                    <w:t>▲11.配套梳理机、出料机与物料接触部位材质为食品级；</w:t>
                  </w:r>
                </w:p>
                <w:p>
                  <w:pPr>
                    <w:pStyle w:val="null3"/>
                    <w:jc w:val="both"/>
                  </w:pPr>
                  <w:r>
                    <w:rPr>
                      <w:rFonts w:ascii="仿宋_GB2312" w:hAnsi="仿宋_GB2312" w:cs="仿宋_GB2312" w:eastAsia="仿宋_GB2312"/>
                      <w:sz w:val="18"/>
                    </w:rPr>
                    <w:t>12.含设备安装与调试服务。</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空压机</w:t>
                  </w:r>
                </w:p>
              </w:tc>
              <w:tc>
                <w:tcPr>
                  <w:tcW w:type="dxa" w:w="1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1.后端配空气滤芯≥4层，经过滤后空气含油量达到食品级要求，且含油量＜0.001mg/m³；</w:t>
                  </w:r>
                </w:p>
                <w:p>
                  <w:pPr>
                    <w:pStyle w:val="null3"/>
                    <w:jc w:val="both"/>
                  </w:pPr>
                  <w:r>
                    <w:rPr>
                      <w:rFonts w:ascii="仿宋_GB2312" w:hAnsi="仿宋_GB2312" w:cs="仿宋_GB2312" w:eastAsia="仿宋_GB2312"/>
                      <w:sz w:val="18"/>
                    </w:rPr>
                    <w:t>2.整机功率≥7.5kw；</w:t>
                  </w:r>
                </w:p>
                <w:p>
                  <w:pPr>
                    <w:pStyle w:val="null3"/>
                    <w:jc w:val="both"/>
                  </w:pPr>
                  <w:r>
                    <w:rPr>
                      <w:rFonts w:ascii="仿宋_GB2312" w:hAnsi="仿宋_GB2312" w:cs="仿宋_GB2312" w:eastAsia="仿宋_GB2312"/>
                      <w:sz w:val="18"/>
                    </w:rPr>
                    <w:t>3.排气量≥1.1m³/分钟；</w:t>
                  </w:r>
                </w:p>
                <w:p>
                  <w:pPr>
                    <w:pStyle w:val="null3"/>
                    <w:jc w:val="both"/>
                  </w:pPr>
                  <w:r>
                    <w:rPr>
                      <w:rFonts w:ascii="仿宋_GB2312" w:hAnsi="仿宋_GB2312" w:cs="仿宋_GB2312" w:eastAsia="仿宋_GB2312"/>
                      <w:sz w:val="18"/>
                    </w:rPr>
                    <w:t>4.输出压力≥0.6MP。</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bl>
          <w:p>
            <w:pPr>
              <w:pStyle w:val="null3"/>
            </w:pPr>
            <w:r>
              <w:rPr>
                <w:rFonts w:ascii="仿宋_GB2312" w:hAnsi="仿宋_GB2312" w:cs="仿宋_GB2312" w:eastAsia="仿宋_GB2312"/>
                <w:sz w:val="18"/>
              </w:rPr>
              <w:t>注：</w:t>
            </w:r>
          </w:p>
          <w:p>
            <w:pPr>
              <w:pStyle w:val="null3"/>
            </w:pPr>
            <w:r>
              <w:rPr>
                <w:rFonts w:ascii="仿宋_GB2312" w:hAnsi="仿宋_GB2312" w:cs="仿宋_GB2312" w:eastAsia="仿宋_GB2312"/>
                <w:sz w:val="18"/>
              </w:rPr>
              <w:t>1.以“#”标注的为本项目核心产品。</w:t>
            </w:r>
          </w:p>
          <w:p>
            <w:pPr>
              <w:pStyle w:val="null3"/>
            </w:pPr>
            <w:r>
              <w:rPr>
                <w:rFonts w:ascii="仿宋_GB2312" w:hAnsi="仿宋_GB2312" w:cs="仿宋_GB2312" w:eastAsia="仿宋_GB2312"/>
                <w:sz w:val="18"/>
              </w:rPr>
              <w:t>2.标识“▲”的为重要参数，需提供有效证明材料与之对应，证明材料应为厂家宣传彩页或产品说明书或第三方检测报告等。</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自合同签订之日起60天内交付使用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西乡县</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项目交付经验收合格后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一、交付标准：（1）供应商向采购人提交项目实施过程中的所有资料。 （2）验收须以合同、招标文件及投标文件、澄清及国家相应的标准、规范等为依据。 （3）符合国家和履约相关的安全质量标准，行业技术规范标准；（4）所有设备及辅材为全新、未拆封、原厂合格正品，符合招标文件及投标文件承诺中采购人认可的合理最佳配置、参数规格及各项要求，无减配、以次充好，原厂合格证、配件、随机工具、用户使用手册（产品使用说明书）、保修卡等资料； （5）双方约定的其他验收标准。 （6）采购人在合同的履行期间以及履行期后，可以随时检查项目的执行情况，对采购标准、采购内容进行调查核实，并对发现的问题进行处理。二、验收方法：（1）核对设备数量、外观及随货资料完整性；进行安装调试后的功能测试；开展为期 15 天的试运行验收，确认设备稳定运行，所有指标达标后，双方签署验收文件；存在问题的，供应商需在 5 个工作日内整改完毕并申请复验。（2）双方约定的其他验收方法。</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保修范围：所有设备主体及配套配件。（2）保修期：本项目整体免费质保2年。（3）供应商承诺的保修期起始时间为终验合格之日。（4）保修责任：质保期出现的质量问题由中标供应商负责解决并承担所有费用。保修期内，供应商需在接到报修通知后 24 小时内响应，48 小时内到场维修（偏远地区可延长至 72 小时），维修费用（含配件、人工）由供应商承担；需更换配件的，更换后配件保修期自更换之日起重新计算。</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一、违约责任1.供应商违约：（1）逾期交付：每逾期 1 日，按合同总金额的 0.5‰支付违约金，逾期超过 15 日，采购人有权解除合同并要求赔偿损失。但采购人书面同意延迟或因采购人原因导致延迟的，供应商不承担违约责任。 （2）质量不合格：未达验收标准的，则视为供应商没有按时交货而违约，供应商无条件更换合格的设备；如逾期不能更换合格的设备，采购人有权终止本合同，供应商应另向采购人支付货款总额的 10 %的违约金。（3）保修违约：如经供应商维修或更换，设备仍不能达到合同约定的质量标准，采购人有权退货，供应商应退回全部货款，造成采购人损失的另行赔偿。2.采购人违约：（1）逾期付款：每逾期 1 日，按应付未付款项的 0.5‰支付违约金。（2）无故拒收设备：需支付合同总金额 5% 的违约金，赔偿投标人实际损失。二、争议解决方法双方因合同履行产生争议，应先友好协商解决。协商不成的，可向项目所在地政府采购监管部门申请调解。调解无效的，依法向采购人所在地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1.特别注意:为顺利推进政府采购电子化交易平台应用工作，投标人需要在线提交所有通过电子化交易平台实施的政府采购项目的投标文件。 2.成交供应商在采购结果发布后3个工作日内向代理机构提交纸质版响应文件以便于存档（可以使用签章文件直接打印），响应文件正本1份，副本2份，电子版文件1份（以U盘为载体，格式PDF）。纸质响应文件均须A4纸打印。线下递交响应文件地点：汉中市汉台区西一环路蓝天御苑小区商铺二层门面房南侧。 3.如招标文件中中小企业融资相关内容与新政策要求有出入，按照最新要求执行。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供应商须提供《汉中市政府采购供应商资格承诺函》；</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投标人授权合法的人员参加投标全过程</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备注：政府采购评审中出现下列情形之一的，评审委员会应当启动异常低价投标（响应）审查程序：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2.投标（响应）报价低于通过符合性审查的次低报价供应商投标（响应）报价65%的，即投标（响应）报价&lt;通过符合性审查的次低报价供应商投标（响应）报价×65%； 　　3.投标（响应）报价低于采购项目最高限价65%的，即投标（响应）报价&lt;采购项目最高限价×65%； 　　 4.评审委员会基于专业判断，认为供应商报价过低，有可能影响产品质量或者不能诚信履约的其他情形。</w:t>
            </w:r>
          </w:p>
        </w:tc>
        <w:tc>
          <w:tcPr>
            <w:tcW w:type="dxa" w:w="1661"/>
          </w:tcPr>
          <w:p>
            <w:pPr>
              <w:pStyle w:val="null3"/>
            </w:pPr>
            <w:r>
              <w:rPr>
                <w:rFonts w:ascii="仿宋_GB2312" w:hAnsi="仿宋_GB2312" w:cs="仿宋_GB2312" w:eastAsia="仿宋_GB2312"/>
              </w:rPr>
              <w:t>开标一览表 分项报价表.docx 投标函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投标人应当使用纳入陕西省政府采购综合管理平台数字 证书互认范围的数字证书及签章进行系统操作。（投标人对其系统操作行为和电子签章确认的事项承担法律责任）</w:t>
            </w:r>
          </w:p>
        </w:tc>
        <w:tc>
          <w:tcPr>
            <w:tcW w:type="dxa" w:w="1661"/>
          </w:tcPr>
          <w:p>
            <w:pPr>
              <w:pStyle w:val="null3"/>
            </w:pPr>
            <w:r>
              <w:rPr>
                <w:rFonts w:ascii="仿宋_GB2312" w:hAnsi="仿宋_GB2312" w:cs="仿宋_GB2312" w:eastAsia="仿宋_GB2312"/>
              </w:rPr>
              <w:t>技术参数偏离表.docx 开标一览表 业绩一览表.docx 中小企业声明函 商务要求响应表.docx 投标人应提交的相关资格证明材料.docx 分项报价表.docx 投标函 残疾人福利性单位声明函 总实施方案.docx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提交投标文件的截止之日起不少于90天。</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交货时间、质量保修范围和保修期</w:t>
            </w:r>
          </w:p>
        </w:tc>
        <w:tc>
          <w:tcPr>
            <w:tcW w:type="dxa" w:w="3322"/>
          </w:tcPr>
          <w:p>
            <w:pPr>
              <w:pStyle w:val="null3"/>
            </w:pPr>
            <w:r>
              <w:rPr>
                <w:rFonts w:ascii="仿宋_GB2312" w:hAnsi="仿宋_GB2312" w:cs="仿宋_GB2312" w:eastAsia="仿宋_GB2312"/>
              </w:rPr>
              <w:t>满足招标文件“第三章 招标项目技术、服务、商务及其他要求</w:t>
            </w:r>
          </w:p>
        </w:tc>
        <w:tc>
          <w:tcPr>
            <w:tcW w:type="dxa" w:w="1661"/>
          </w:tcPr>
          <w:p>
            <w:pPr>
              <w:pStyle w:val="null3"/>
            </w:pPr>
            <w:r>
              <w:rPr>
                <w:rFonts w:ascii="仿宋_GB2312" w:hAnsi="仿宋_GB2312" w:cs="仿宋_GB2312" w:eastAsia="仿宋_GB2312"/>
              </w:rPr>
              <w:t>商务要求响应表.docx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所投产品的技术参数、配置和功能需求</w:t>
            </w:r>
          </w:p>
        </w:tc>
        <w:tc>
          <w:tcPr>
            <w:tcW w:type="dxa" w:w="2492"/>
          </w:tcPr>
          <w:p>
            <w:pPr>
              <w:pStyle w:val="null3"/>
            </w:pPr>
            <w:r>
              <w:rPr>
                <w:rFonts w:ascii="仿宋_GB2312" w:hAnsi="仿宋_GB2312" w:cs="仿宋_GB2312" w:eastAsia="仿宋_GB2312"/>
              </w:rPr>
              <w:t>一、评审内容：产品选型科学、合理、先进、配置齐全，满足招标文件要求。 二、赋分标准： 1、投标人所投设备完全满足招标文件技术参数且标“▲”号技术参数均提供了与之对应的证明材料，得10分； 2、标“▲”号参数每负偏离一项扣2分（未提供相对应的证明材料视为负偏离），非“▲”号参数每负偏离一项扣1分，扣完为止。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技术参数偏离表.docx</w:t>
            </w:r>
          </w:p>
        </w:tc>
      </w:tr>
      <w:tr>
        <w:tc>
          <w:tcPr>
            <w:tcW w:type="dxa" w:w="831"/>
            <w:vMerge/>
          </w:tcPr>
          <w:p/>
        </w:tc>
        <w:tc>
          <w:tcPr>
            <w:tcW w:type="dxa" w:w="1661"/>
          </w:tcPr>
          <w:p>
            <w:pPr>
              <w:pStyle w:val="null3"/>
            </w:pPr>
            <w:r>
              <w:rPr>
                <w:rFonts w:ascii="仿宋_GB2312" w:hAnsi="仿宋_GB2312" w:cs="仿宋_GB2312" w:eastAsia="仿宋_GB2312"/>
              </w:rPr>
              <w:t>项目整体实施方案</w:t>
            </w:r>
          </w:p>
        </w:tc>
        <w:tc>
          <w:tcPr>
            <w:tcW w:type="dxa" w:w="2492"/>
          </w:tcPr>
          <w:p>
            <w:pPr>
              <w:pStyle w:val="null3"/>
            </w:pPr>
            <w:r>
              <w:rPr>
                <w:rFonts w:ascii="仿宋_GB2312" w:hAnsi="仿宋_GB2312" w:cs="仿宋_GB2312" w:eastAsia="仿宋_GB2312"/>
              </w:rPr>
              <w:t>一、评审内容： 投标人针对本项目进行具有详细、具体的实施方案，包括但不限于：①项目进度计划及保障措施②订货及供货组织安排③设备质量目标及措施④拟派人员配置及岗位职责⑤设备安装调试方案⑥交货验收方案。 二、赋分标准： 1、完整性：对上述各项内容均有描述，得6分；每缺1项扣1分，扣完为止。此项不提供不得分。 2、针对性：上述各项内容针对性强，每项内容得2分；针对性一般，每项内容得1分；缺乏针对性，每项内容得0分。此项不提供不得分。 3、可实施性：上述各项内容可实施性强，每项内容得2分；可实施性一般，每项内容得1分；缺乏可实施性，每项内容得0分。此项不提供不得分。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总实施方案.docx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投标人针对本项目进行具有详细、具体的售后服务方案，包括但不限于：①各类故障解决措施及响应时效②备用设备与应急保障③维护与回访机制。 二、赋分标准： 1、完整性：上述各项内容均有描述，得3分；每缺1项扣1分，扣完为止。此项不提供不得分。 2、针对性：上述各项内容针对性强，每项内容得2分；针对性一般，每项内容得1分；缺乏针对性，每项内容得0分。此项不提供不得分。 3、可实施性：上述各项内容可实施性强，每项内容得2分；可实施性一般，每项内容得1分；缺乏可实施性，每项内容得0分。此项不提供不得分。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总实施方案.docx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一、评审内容：根据项目采购内容及实际情况，提供设备技术指导培训方案。 内容包含：①培训目标；②培训对象；③培训内容（操作 / 维护 ）。 二、评审标准： 1、完整性：对上述各项内容均有描述，得3分；每缺1项扣1分，扣完为止。 2、针对性：上述各项内容针对性强，每项内容得1分；针对性一般，每项内容得0.5分；缺乏针对性，每项内容得0分。 3、可实施性：上述各项内容可实施性强，每项内容得1分；可实施性一般，每项内容得0.5分；缺乏可实施性，每项内容得0分。此项不提供不得分。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总实施方案.docx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一、评审内容：投标人有过类似项目业绩。 二、评审标准：投标人须提供 2025年5月1日至今类似项目业绩，投标文件内附合同/协议书复印件并加盖公章，提供一份业绩得3分，最高得3分；此项不提供不得分。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一、评审内容：提供核心产品完整合法来源渠道证明。 二、评审标准：提供产品授权书或销售协议等得3分，此项不提供不得分。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总实施方案.docx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价格分采用低价优先法计算，即满足招标文件要求且投标价格最低的投标报价为评标基准价，其价格分为满分。其他投标人的价格分统一按照下列公式得算： 报价得分=(评标基准价／投标报价)×30 得算分数时四舍五入取小数点后两位。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详见附件：总实施方案.docx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详见附件：技术参数偏离表.docx</w:t>
      </w:r>
    </w:p>
    <w:p>
      <w:pPr>
        <w:pStyle w:val="null3"/>
        <w:ind w:firstLine="960"/>
      </w:pPr>
      <w:r>
        <w:rPr>
          <w:rFonts w:ascii="仿宋_GB2312" w:hAnsi="仿宋_GB2312" w:cs="仿宋_GB2312" w:eastAsia="仿宋_GB2312"/>
        </w:rPr>
        <w:t>详见附件：商务要求响应表.docx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详见附件：投标人应提交的相关资格证明材料.docx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