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"/>
        <w:gridCol w:w="1076"/>
        <w:gridCol w:w="6512"/>
      </w:tblGrid>
      <w:tr w14:paraId="3D31A3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</w:tcPr>
          <w:p w14:paraId="60BA6087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076" w:type="dxa"/>
          </w:tcPr>
          <w:p w14:paraId="56708FC6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6512" w:type="dxa"/>
          </w:tcPr>
          <w:p w14:paraId="35E89FB7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CDAF97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</w:tcPr>
          <w:p w14:paraId="316EB82D">
            <w:pPr>
              <w:pStyle w:val="5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</w:t>
            </w:r>
          </w:p>
        </w:tc>
        <w:tc>
          <w:tcPr>
            <w:tcW w:w="1076" w:type="dxa"/>
          </w:tcPr>
          <w:p w14:paraId="3D19A2D8">
            <w:pPr>
              <w:pStyle w:val="5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6512" w:type="dxa"/>
          </w:tcPr>
          <w:p w14:paraId="6D0F091B">
            <w:pPr>
              <w:pStyle w:val="5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一、</w:t>
            </w:r>
            <w:r>
              <w:rPr>
                <w:rFonts w:hint="eastAsia" w:ascii="仿宋_GB2312" w:hAnsi="仿宋_GB2312" w:eastAsia="仿宋_GB2312" w:cs="仿宋_GB2312"/>
              </w:rPr>
              <w:t>建设内容：</w:t>
            </w:r>
          </w:p>
          <w:p w14:paraId="61A5703F">
            <w:pPr>
              <w:pStyle w:val="5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（1）东门出口、二道检票口、西职工通道增加人脸识别摄像机。</w:t>
            </w:r>
          </w:p>
          <w:p w14:paraId="7F682097">
            <w:pPr>
              <w:pStyle w:val="5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（2）补充完善一、二、三号坑各个出入口的人脸识别和客流统计。</w:t>
            </w:r>
          </w:p>
          <w:p w14:paraId="4625F822">
            <w:pPr>
              <w:pStyle w:val="5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（3）后端智能分析及大模型、存储建设。</w:t>
            </w:r>
          </w:p>
          <w:p w14:paraId="3BD80D61">
            <w:pPr>
              <w:pStyle w:val="5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（4）一、二、三号坑电源线及信号传输线缆敷设。</w:t>
            </w:r>
          </w:p>
        </w:tc>
      </w:tr>
      <w:tr w14:paraId="6632BF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</w:tcPr>
          <w:p w14:paraId="2AA5676A">
            <w:pPr>
              <w:pStyle w:val="5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2</w:t>
            </w:r>
          </w:p>
        </w:tc>
        <w:tc>
          <w:tcPr>
            <w:tcW w:w="1076" w:type="dxa"/>
          </w:tcPr>
          <w:p w14:paraId="65A81677"/>
        </w:tc>
        <w:tc>
          <w:tcPr>
            <w:tcW w:w="6512" w:type="dxa"/>
          </w:tcPr>
          <w:p w14:paraId="6F896C2B">
            <w:pPr>
              <w:pStyle w:val="5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二、</w:t>
            </w:r>
            <w:r>
              <w:rPr>
                <w:rFonts w:hint="eastAsia" w:ascii="仿宋_GB2312" w:hAnsi="仿宋_GB2312" w:eastAsia="仿宋_GB2312" w:cs="仿宋_GB2312"/>
              </w:rPr>
              <w:t xml:space="preserve">技术要求： </w:t>
            </w:r>
          </w:p>
          <w:p w14:paraId="0715D0F4">
            <w:pPr>
              <w:pStyle w:val="5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（1）升级AI智能系统，强化对观众高频进入场馆、异常行为的实时智能分析能力。对多次频繁进入场馆人员在后台弹窗预警。</w:t>
            </w:r>
          </w:p>
          <w:p w14:paraId="29957334">
            <w:pPr>
              <w:pStyle w:val="5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（2）增加人脸识别系统完成所有出入口人脸识别全覆盖，加强对重点人员的关注及预警，在人脸信息记录后可结合公安人脸库迅速查找重点人员轨迹。</w:t>
            </w:r>
          </w:p>
          <w:p w14:paraId="4E667783">
            <w:pPr>
              <w:pStyle w:val="5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（3）增加热成像预警系统，加强 2、3 号坑夜间防护，清场后可通过热成像实现是否有可疑人员藏匿在管内。</w:t>
            </w:r>
          </w:p>
          <w:p w14:paraId="7698495B">
            <w:pPr>
              <w:pStyle w:val="5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（4）增加客流分析系统，便于大客流期间快速科学地采取分流疏散、错峰、限流、预警等应对措施;增加大模型文搜系统,提升找人找物工作效率，确保观众人身财产安全。</w:t>
            </w:r>
          </w:p>
          <w:p w14:paraId="71BD1484">
            <w:pPr>
              <w:pStyle w:val="5"/>
            </w:pPr>
            <w:r>
              <w:rPr>
                <w:rFonts w:hint="eastAsia" w:ascii="仿宋_GB2312" w:hAnsi="仿宋_GB2312" w:eastAsia="仿宋_GB2312" w:cs="仿宋_GB2312"/>
              </w:rPr>
              <w:t>（5）建成后有利于提高秦始皇帝陵博物院馆区文物保护的安全防范等级，提高文物保卫部门管理水平和工作效率，对可能发生的文物犯罪起到提前预警的作用，可对重点人员行为轨迹追踪，对频繁进出同一展厅的人员标记，进行重点监控。根据客流统计数据规划参数放行人数，分流参观，避免造成不必要的人员拥挤。</w:t>
            </w:r>
          </w:p>
        </w:tc>
      </w:tr>
      <w:tr w14:paraId="674134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</w:tcPr>
          <w:p w14:paraId="4E82CADA">
            <w:pPr>
              <w:pStyle w:val="5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3</w:t>
            </w:r>
          </w:p>
        </w:tc>
        <w:tc>
          <w:tcPr>
            <w:tcW w:w="1076" w:type="dxa"/>
          </w:tcPr>
          <w:p w14:paraId="62CBEF6D"/>
        </w:tc>
        <w:tc>
          <w:tcPr>
            <w:tcW w:w="6512" w:type="dxa"/>
          </w:tcPr>
          <w:p w14:paraId="755EE65D">
            <w:pPr>
              <w:pStyle w:val="5"/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三、</w:t>
            </w:r>
            <w:r>
              <w:rPr>
                <w:rFonts w:hint="eastAsia" w:ascii="仿宋_GB2312" w:hAnsi="仿宋_GB2312" w:eastAsia="仿宋_GB2312" w:cs="仿宋_GB2312"/>
              </w:rPr>
              <w:t>承建单位须严格按照设计要求和技术规范进行施工，确保系统稳定性和设备兼容性，落实现场安全管理责任，配合院方完成人员操作培训及后期维护工作，保障项目验收合格后高效投入运行。</w:t>
            </w:r>
          </w:p>
        </w:tc>
      </w:tr>
      <w:tr w14:paraId="48100D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</w:tcPr>
          <w:p w14:paraId="2CB9B6F2">
            <w:pPr>
              <w:pStyle w:val="5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4</w:t>
            </w:r>
          </w:p>
        </w:tc>
        <w:tc>
          <w:tcPr>
            <w:tcW w:w="1076" w:type="dxa"/>
          </w:tcPr>
          <w:p w14:paraId="55EA59E4">
            <w:pPr>
              <w:rPr>
                <w:highlight w:val="none"/>
              </w:rPr>
            </w:pPr>
          </w:p>
        </w:tc>
        <w:tc>
          <w:tcPr>
            <w:tcW w:w="6512" w:type="dxa"/>
          </w:tcPr>
          <w:p w14:paraId="18C62090">
            <w:pPr>
              <w:pStyle w:val="5"/>
              <w:rPr>
                <w:rFonts w:hint="eastAsia" w:ascii="仿宋_GB2312" w:hAnsi="仿宋_GB2312" w:eastAsia="仿宋_GB2312" w:cs="仿宋_GB231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四、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其他要求：</w:t>
            </w:r>
          </w:p>
          <w:p w14:paraId="750318E6">
            <w:pPr>
              <w:pStyle w:val="5"/>
              <w:jc w:val="both"/>
              <w:rPr>
                <w:rFonts w:hint="eastAsia" w:ascii="仿宋" w:hAnsi="仿宋" w:eastAsia="仿宋" w:cs="仿宋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（1）项目实施要求：中标方应建立专门项目团队负责本项目的施工、调试等建设工作，施工中需要对文物保护做出相应措施。项目团队人员配置科学合理、分工明确，中标方需按照磋商文件要求内容划分项目阶段人员分配情况，包括项目启动阶段、项目调研阶段，项目实施阶段，软件部署阶段、产品试运行阶段，项目验收阶段，并制定项目人员安排计划，明确岗位职责，并按计划实施。</w:t>
            </w:r>
          </w:p>
          <w:p w14:paraId="170A19D2">
            <w:pPr>
              <w:pStyle w:val="5"/>
              <w:jc w:val="both"/>
              <w:rPr>
                <w:rFonts w:hint="eastAsia" w:ascii="仿宋" w:hAnsi="仿宋" w:eastAsia="仿宋" w:cs="仿宋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（2）进度要求：本次项目自接甲方项目单位通知之日起30个日历日内完全交付用户试运行，试运行15天后进行初步验收。解决初验相关问题及完成后续全部施工工作后进行终验。</w:t>
            </w:r>
          </w:p>
          <w:p w14:paraId="4EACD864">
            <w:pPr>
              <w:pStyle w:val="5"/>
              <w:jc w:val="both"/>
              <w:rPr>
                <w:rFonts w:hint="eastAsia" w:ascii="仿宋" w:hAnsi="仿宋" w:eastAsia="仿宋" w:cs="仿宋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（3）培训要求：系统建成后承建方需对博物院相关负责人进行软件功能培训、日常使用培训、常见故障排除培训等。培训后的人员应能熟练操作、维护和正常使用，并能排除一般故障。培训的具体日期及人数由使用单位确定。</w:t>
            </w:r>
          </w:p>
          <w:p w14:paraId="662378CD">
            <w:pPr>
              <w:pStyle w:val="5"/>
              <w:jc w:val="both"/>
              <w:rPr>
                <w:rFonts w:hint="eastAsia" w:eastAsiaTheme="minorEastAsia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（4）售后要求：项目验收之日起，提供至少2年技术支持与售后服务（包含所涉及的所有软件系统平台的免费升级）。服务期内提供7*24时故障响应，响应时间不得超过2小时。</w:t>
            </w:r>
          </w:p>
        </w:tc>
      </w:tr>
      <w:tr w14:paraId="3900EE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</w:tcPr>
          <w:p w14:paraId="70651762">
            <w:pPr>
              <w:pStyle w:val="5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5</w:t>
            </w:r>
          </w:p>
        </w:tc>
        <w:tc>
          <w:tcPr>
            <w:tcW w:w="1076" w:type="dxa"/>
          </w:tcPr>
          <w:p w14:paraId="20A40711"/>
        </w:tc>
        <w:tc>
          <w:tcPr>
            <w:tcW w:w="6512" w:type="dxa"/>
          </w:tcPr>
          <w:p w14:paraId="704CBB16">
            <w:pPr>
              <w:pStyle w:val="2"/>
              <w:numPr>
                <w:ilvl w:val="0"/>
                <w:numId w:val="0"/>
              </w:numPr>
              <w:adjustRightInd w:val="0"/>
              <w:snapToGrid w:val="0"/>
              <w:spacing w:before="0" w:beforeAutospacing="0" w:after="0" w:afterAutospacing="0" w:line="360" w:lineRule="auto"/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/>
              </w:rPr>
              <w:t>五、工程量清单编制依据：</w:t>
            </w:r>
          </w:p>
          <w:p w14:paraId="654A6781">
            <w:pPr>
              <w:pStyle w:val="2"/>
              <w:numPr>
                <w:ilvl w:val="0"/>
                <w:numId w:val="0"/>
              </w:numPr>
              <w:adjustRightInd w:val="0"/>
              <w:snapToGrid w:val="0"/>
              <w:spacing w:before="0" w:beforeAutospacing="0" w:after="0" w:afterAutospacing="0" w:line="360" w:lineRule="auto"/>
              <w:rPr>
                <w:rFonts w:hint="default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/>
              </w:rPr>
              <w:t>1、陕西省工程建设标准《建设工程工程量清单计价标准》(DB 61/T5126-2025)、陕西省工程建设标准《房屋建筑与装饰工程工程量计算标准》(DB 61/T5129-2025)、陕西省工程建设标准《通用安装工程工程量计算标准》(DB 61/T5130-2025)；</w:t>
            </w:r>
          </w:p>
          <w:p w14:paraId="09F1EA5D">
            <w:pPr>
              <w:pStyle w:val="2"/>
              <w:numPr>
                <w:ilvl w:val="0"/>
                <w:numId w:val="0"/>
              </w:numPr>
              <w:adjustRightInd w:val="0"/>
              <w:snapToGrid w:val="0"/>
              <w:spacing w:before="0" w:beforeAutospacing="0" w:after="0" w:afterAutospacing="0" w:line="360" w:lineRule="auto"/>
              <w:rPr>
                <w:rFonts w:hint="default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/>
              </w:rPr>
              <w:t>2、秦始皇帝陵博物院安防智能化升级改造施工图纸、图纸答疑回复等资料；</w:t>
            </w:r>
          </w:p>
          <w:p w14:paraId="72A48275">
            <w:pPr>
              <w:pStyle w:val="2"/>
              <w:numPr>
                <w:ilvl w:val="0"/>
                <w:numId w:val="0"/>
              </w:numPr>
              <w:adjustRightInd w:val="0"/>
              <w:snapToGrid w:val="0"/>
              <w:spacing w:before="0" w:beforeAutospacing="0" w:after="0" w:afterAutospacing="0" w:line="360" w:lineRule="auto"/>
              <w:rPr>
                <w:rFonts w:hint="default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/>
              </w:rPr>
              <w:t>3、与建设工程项目有关的标准、规范、图集、技术资料；</w:t>
            </w:r>
          </w:p>
          <w:p w14:paraId="030914D9">
            <w:pPr>
              <w:pStyle w:val="2"/>
              <w:numPr>
                <w:ilvl w:val="0"/>
                <w:numId w:val="0"/>
              </w:numPr>
              <w:adjustRightInd w:val="0"/>
              <w:snapToGrid w:val="0"/>
              <w:spacing w:before="0" w:beforeAutospacing="0" w:after="0" w:afterAutospacing="0" w:line="360" w:lineRule="auto"/>
              <w:rPr>
                <w:rFonts w:hint="default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/>
              </w:rPr>
              <w:t>4、施工现场情况、工程特点及常规施工方案；</w:t>
            </w:r>
          </w:p>
          <w:p w14:paraId="29B45838">
            <w:pPr>
              <w:pStyle w:val="2"/>
              <w:numPr>
                <w:ilvl w:val="0"/>
                <w:numId w:val="0"/>
              </w:numPr>
              <w:adjustRightInd w:val="0"/>
              <w:snapToGrid w:val="0"/>
              <w:spacing w:before="0" w:beforeAutospacing="0" w:after="0" w:afterAutospacing="0" w:line="360" w:lineRule="auto"/>
              <w:rPr>
                <w:rFonts w:hint="default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0"/>
                <w:sz w:val="20"/>
                <w:szCs w:val="20"/>
                <w:highlight w:val="none"/>
                <w:lang w:val="en-US" w:eastAsia="zh-CN"/>
              </w:rPr>
              <w:t>5、本项目使用广联达云计价平台编制，软件版本号: GCCP7.0（7.5000.23.2）。</w:t>
            </w:r>
          </w:p>
        </w:tc>
      </w:tr>
      <w:tr w14:paraId="0E5708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</w:tcPr>
          <w:p w14:paraId="749CE960">
            <w:pPr>
              <w:pStyle w:val="5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6</w:t>
            </w:r>
          </w:p>
        </w:tc>
        <w:tc>
          <w:tcPr>
            <w:tcW w:w="1076" w:type="dxa"/>
          </w:tcPr>
          <w:p w14:paraId="5F9A02AF">
            <w:pPr>
              <w:rPr>
                <w:rFonts w:hint="eastAsia" w:eastAsia="宋体"/>
                <w:color w:val="auto"/>
                <w:lang w:val="en-US" w:eastAsia="zh-CN"/>
              </w:rPr>
            </w:pPr>
          </w:p>
        </w:tc>
        <w:tc>
          <w:tcPr>
            <w:tcW w:w="6512" w:type="dxa"/>
          </w:tcPr>
          <w:p w14:paraId="6061E333">
            <w:pPr>
              <w:pStyle w:val="2"/>
              <w:numPr>
                <w:ilvl w:val="0"/>
                <w:numId w:val="0"/>
              </w:numPr>
              <w:adjustRightInd w:val="0"/>
              <w:snapToGrid w:val="0"/>
              <w:spacing w:before="0" w:beforeAutospacing="0" w:after="0" w:afterAutospacing="0" w:line="360" w:lineRule="auto"/>
              <w:rPr>
                <w:rFonts w:hint="default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六、详见工程量清单</w:t>
            </w:r>
          </w:p>
        </w:tc>
      </w:tr>
      <w:tr w14:paraId="4DF388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</w:tcPr>
          <w:p w14:paraId="2D378972">
            <w:pPr>
              <w:pStyle w:val="5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7</w:t>
            </w:r>
          </w:p>
        </w:tc>
        <w:tc>
          <w:tcPr>
            <w:tcW w:w="1076" w:type="dxa"/>
          </w:tcPr>
          <w:p w14:paraId="3CA3375B">
            <w:pPr>
              <w:pStyle w:val="5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★</w:t>
            </w:r>
          </w:p>
        </w:tc>
        <w:tc>
          <w:tcPr>
            <w:tcW w:w="6512" w:type="dxa"/>
          </w:tcPr>
          <w:tbl>
            <w:tblPr>
              <w:tblStyle w:val="3"/>
              <w:tblW w:w="4999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31"/>
              <w:gridCol w:w="1171"/>
              <w:gridCol w:w="4193"/>
            </w:tblGrid>
            <w:tr w14:paraId="34608B9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3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1D0CF0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</w:rPr>
                  </w:pPr>
                  <w:r>
                    <w:rPr>
                      <w:rFonts w:hint="eastAsia" w:ascii="仿宋" w:hAnsi="仿宋" w:eastAsia="仿宋" w:cs="仿宋"/>
                      <w:sz w:val="19"/>
                    </w:rPr>
                    <w:t>序号</w:t>
                  </w:r>
                </w:p>
              </w:tc>
              <w:tc>
                <w:tcPr>
                  <w:tcW w:w="4260" w:type="pct"/>
                  <w:gridSpan w:val="2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7D5BF1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</w:rPr>
                  </w:pPr>
                  <w:r>
                    <w:rPr>
                      <w:rFonts w:hint="eastAsia" w:ascii="仿宋" w:hAnsi="仿宋" w:eastAsia="仿宋" w:cs="仿宋"/>
                      <w:sz w:val="19"/>
                    </w:rPr>
                    <w:t>项目要求</w:t>
                  </w:r>
                </w:p>
              </w:tc>
            </w:tr>
            <w:tr w14:paraId="332A593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3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60DF91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</w:rPr>
                  </w:pPr>
                  <w:r>
                    <w:rPr>
                      <w:rFonts w:hint="eastAsia" w:ascii="仿宋" w:hAnsi="仿宋" w:eastAsia="仿宋" w:cs="仿宋"/>
                      <w:sz w:val="19"/>
                    </w:rPr>
                    <w:t>1</w:t>
                  </w:r>
                </w:p>
              </w:tc>
              <w:tc>
                <w:tcPr>
                  <w:tcW w:w="93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6B493F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</w:rPr>
                  </w:pPr>
                  <w:r>
                    <w:rPr>
                      <w:rFonts w:hint="eastAsia" w:ascii="仿宋" w:hAnsi="仿宋" w:eastAsia="仿宋" w:cs="仿宋"/>
                      <w:sz w:val="19"/>
                    </w:rPr>
                    <w:t>付款</w:t>
                  </w:r>
                </w:p>
                <w:p w14:paraId="4A767365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</w:rPr>
                  </w:pPr>
                  <w:r>
                    <w:rPr>
                      <w:rFonts w:hint="eastAsia" w:ascii="仿宋" w:hAnsi="仿宋" w:eastAsia="仿宋" w:cs="仿宋"/>
                      <w:sz w:val="19"/>
                    </w:rPr>
                    <w:t>方式</w:t>
                  </w:r>
                </w:p>
              </w:tc>
              <w:tc>
                <w:tcPr>
                  <w:tcW w:w="33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64B391">
                  <w:pPr>
                    <w:pStyle w:val="5"/>
                    <w:rPr>
                      <w:rFonts w:hint="eastAsia" w:ascii="仿宋" w:hAnsi="仿宋" w:eastAsia="仿宋" w:cs="仿宋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19"/>
                      <w:highlight w:val="none"/>
                    </w:rPr>
                    <w:t>1、付款方式</w:t>
                  </w:r>
                </w:p>
                <w:p w14:paraId="660CD1E6">
                  <w:pPr>
                    <w:pStyle w:val="5"/>
                    <w:rPr>
                      <w:rFonts w:hint="eastAsia" w:ascii="仿宋" w:hAnsi="仿宋" w:eastAsia="仿宋" w:cs="仿宋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19"/>
                      <w:highlight w:val="none"/>
                    </w:rPr>
                    <w:t>（1）合同签订后、开工前3日内，支付合同总价款的40%作为工程预付款。</w:t>
                  </w:r>
                </w:p>
                <w:p w14:paraId="6B151F37">
                  <w:pPr>
                    <w:pStyle w:val="5"/>
                    <w:rPr>
                      <w:rFonts w:hint="eastAsia" w:ascii="仿宋" w:hAnsi="仿宋" w:eastAsia="仿宋" w:cs="仿宋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19"/>
                      <w:highlight w:val="none"/>
                    </w:rPr>
                    <w:t>（2）</w:t>
                  </w:r>
                  <w:r>
                    <w:rPr>
                      <w:rFonts w:hint="eastAsia" w:ascii="仿宋" w:hAnsi="仿宋" w:eastAsia="仿宋" w:cs="仿宋"/>
                      <w:sz w:val="19"/>
                      <w:highlight w:val="none"/>
                      <w:lang w:val="en-US" w:eastAsia="zh-CN"/>
                    </w:rPr>
                    <w:t>主要设备（以最终签订的合同为准）进场、安装、调试后支付合同金额的45％</w:t>
                  </w:r>
                  <w:r>
                    <w:rPr>
                      <w:rFonts w:hint="eastAsia" w:ascii="仿宋" w:hAnsi="仿宋" w:eastAsia="仿宋" w:cs="仿宋"/>
                      <w:sz w:val="19"/>
                      <w:highlight w:val="none"/>
                    </w:rPr>
                    <w:t>。</w:t>
                  </w:r>
                </w:p>
                <w:p w14:paraId="55169E69">
                  <w:pPr>
                    <w:pStyle w:val="5"/>
                    <w:rPr>
                      <w:rFonts w:hint="eastAsia" w:ascii="仿宋" w:hAnsi="仿宋" w:eastAsia="仿宋" w:cs="仿宋"/>
                      <w:sz w:val="19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19"/>
                      <w:highlight w:val="none"/>
                    </w:rPr>
                    <w:t>（3）工程完</w:t>
                  </w:r>
                  <w:bookmarkStart w:id="0" w:name="_GoBack"/>
                  <w:bookmarkEnd w:id="0"/>
                  <w:r>
                    <w:rPr>
                      <w:rFonts w:hint="eastAsia" w:ascii="仿宋" w:hAnsi="仿宋" w:eastAsia="仿宋" w:cs="仿宋"/>
                      <w:sz w:val="19"/>
                      <w:highlight w:val="none"/>
                    </w:rPr>
                    <w:t>工，系统经终验合格后（提供全部项目资料），审计工作结束后，支付到审计金额的97％；</w:t>
                  </w:r>
                </w:p>
                <w:p w14:paraId="37669B35">
                  <w:pPr>
                    <w:pStyle w:val="5"/>
                    <w:rPr>
                      <w:rFonts w:hint="eastAsia" w:ascii="仿宋" w:hAnsi="仿宋" w:eastAsia="仿宋" w:cs="仿宋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19"/>
                      <w:highlight w:val="none"/>
                    </w:rPr>
                    <w:t>（4）质保期2年，预留审计金额的3％作为质保金，2年后支付。</w:t>
                  </w:r>
                </w:p>
                <w:p w14:paraId="6CD389BC">
                  <w:pPr>
                    <w:pStyle w:val="5"/>
                    <w:rPr>
                      <w:rFonts w:hint="eastAsia" w:ascii="仿宋" w:hAnsi="仿宋" w:eastAsia="仿宋" w:cs="仿宋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19"/>
                      <w:highlight w:val="none"/>
                    </w:rPr>
                    <w:t>2、本项目采用固定综合单价合同。</w:t>
                  </w:r>
                </w:p>
              </w:tc>
            </w:tr>
            <w:tr w14:paraId="2EE9BF7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3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68B975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</w:rPr>
                  </w:pPr>
                  <w:r>
                    <w:rPr>
                      <w:rFonts w:hint="eastAsia" w:ascii="仿宋" w:hAnsi="仿宋" w:eastAsia="仿宋" w:cs="仿宋"/>
                      <w:sz w:val="19"/>
                    </w:rPr>
                    <w:t>2</w:t>
                  </w:r>
                </w:p>
              </w:tc>
              <w:tc>
                <w:tcPr>
                  <w:tcW w:w="93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5479E2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</w:rPr>
                  </w:pPr>
                  <w:r>
                    <w:rPr>
                      <w:rFonts w:hint="eastAsia" w:ascii="仿宋" w:hAnsi="仿宋" w:eastAsia="仿宋" w:cs="仿宋"/>
                      <w:sz w:val="19"/>
                    </w:rPr>
                    <w:t>项目完工期</w:t>
                  </w:r>
                </w:p>
              </w:tc>
              <w:tc>
                <w:tcPr>
                  <w:tcW w:w="33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EBC2BB">
                  <w:pPr>
                    <w:pStyle w:val="5"/>
                    <w:rPr>
                      <w:rFonts w:hint="eastAsia" w:ascii="仿宋" w:hAnsi="仿宋" w:eastAsia="仿宋" w:cs="仿宋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19"/>
                      <w:highlight w:val="none"/>
                    </w:rPr>
                    <w:t>合同签订之日起</w:t>
                  </w:r>
                  <w:r>
                    <w:rPr>
                      <w:rFonts w:hint="eastAsia" w:ascii="仿宋" w:hAnsi="仿宋" w:eastAsia="仿宋" w:cs="仿宋"/>
                      <w:sz w:val="19"/>
                      <w:highlight w:val="none"/>
                      <w:lang w:val="en-US" w:eastAsia="zh-CN"/>
                    </w:rPr>
                    <w:t>45</w:t>
                  </w:r>
                  <w:r>
                    <w:rPr>
                      <w:rFonts w:hint="eastAsia" w:ascii="仿宋" w:hAnsi="仿宋" w:eastAsia="仿宋" w:cs="仿宋"/>
                      <w:sz w:val="19"/>
                      <w:highlight w:val="none"/>
                    </w:rPr>
                    <w:t>日历天内完成。</w:t>
                  </w:r>
                </w:p>
              </w:tc>
            </w:tr>
            <w:tr w14:paraId="3DB2CC7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3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0C4807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</w:rPr>
                  </w:pPr>
                  <w:r>
                    <w:rPr>
                      <w:rFonts w:hint="eastAsia" w:ascii="仿宋" w:hAnsi="仿宋" w:eastAsia="仿宋" w:cs="仿宋"/>
                      <w:sz w:val="19"/>
                    </w:rPr>
                    <w:t>3</w:t>
                  </w:r>
                </w:p>
              </w:tc>
              <w:tc>
                <w:tcPr>
                  <w:tcW w:w="93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FC51E4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</w:rPr>
                  </w:pPr>
                  <w:r>
                    <w:rPr>
                      <w:rFonts w:hint="eastAsia" w:ascii="仿宋" w:hAnsi="仿宋" w:eastAsia="仿宋" w:cs="仿宋"/>
                      <w:sz w:val="19"/>
                    </w:rPr>
                    <w:t>质保期</w:t>
                  </w:r>
                </w:p>
              </w:tc>
              <w:tc>
                <w:tcPr>
                  <w:tcW w:w="332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4993E9">
                  <w:pPr>
                    <w:pStyle w:val="5"/>
                    <w:rPr>
                      <w:rFonts w:hint="eastAsia" w:ascii="仿宋" w:hAnsi="仿宋" w:eastAsia="仿宋" w:cs="仿宋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sz w:val="19"/>
                      <w:highlight w:val="none"/>
                    </w:rPr>
                    <w:t>自项目竣工验收合格之日起</w:t>
                  </w:r>
                  <w:r>
                    <w:rPr>
                      <w:rFonts w:hint="eastAsia" w:ascii="仿宋" w:hAnsi="仿宋" w:eastAsia="仿宋" w:cs="仿宋"/>
                      <w:sz w:val="19"/>
                      <w:highlight w:val="none"/>
                      <w:lang w:val="en-US" w:eastAsia="zh-CN"/>
                    </w:rPr>
                    <w:t>2</w:t>
                  </w:r>
                  <w:r>
                    <w:rPr>
                      <w:rFonts w:hint="eastAsia" w:ascii="仿宋" w:hAnsi="仿宋" w:eastAsia="仿宋" w:cs="仿宋"/>
                      <w:sz w:val="19"/>
                      <w:highlight w:val="none"/>
                    </w:rPr>
                    <w:t>年。</w:t>
                  </w:r>
                </w:p>
              </w:tc>
            </w:tr>
          </w:tbl>
          <w:p w14:paraId="35B716B0">
            <w:pPr>
              <w:rPr>
                <w:rFonts w:hint="eastAsia" w:ascii="仿宋" w:hAnsi="仿宋" w:eastAsia="仿宋" w:cs="仿宋"/>
              </w:rPr>
            </w:pPr>
          </w:p>
        </w:tc>
      </w:tr>
    </w:tbl>
    <w:p w14:paraId="42CE4DA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BF6724"/>
    <w:rsid w:val="7DB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6">
    <w:name w:val="样式 10 磅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2026-05-26T03:55:00Z</dcterms:created>
  <dc:creator>123</dc:creator>
  <cp:lastModifiedBy>123</cp:lastModifiedBy>
  <dcterms:modified xsi:type="dcterms:W3CDTF">2026-05-26T03:56:51Z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D55E792DE2B64F45AC14D1A834B976ED_11</vt:lpwstr>
  </property>
  <property fmtid="{D5CDD505-2E9C-101B-9397-08002B2CF9AE}" pid="4" name="KSOTemplateDocerSaveRecord">
    <vt:lpwstr>eyJoZGlkIjoiMmFiMTY0MjE5ODlmZmUzZGU0YWNiZDQ1OGMwNmQ3MzYiLCJ1c2VySWQiOiI0NTE5NDQwNTQifQ==</vt:lpwstr>
  </property>
</Properties>
</file>