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版本号：PLRH2026-GP-007S20260521002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市政府办公区路面塌陷维修项目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PLRH2026-GP-007S</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市政府办公区路面塌陷维修项目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PLRH2026-GP-007S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市政府办公区路面塌陷维修项目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市政府办公区路面塌陷维修项目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采购包1（市政府办公区路面塌陷维修项目）：属于专门面向中小企业采购。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pPr>
        <w:pStyle w:val="null3"/>
      </w:pPr>
      <w:r>
        <w:rPr>
          <w:rFonts w:ascii="仿宋_GB2312" w:hAnsi="仿宋_GB2312" w:cs="仿宋_GB2312" w:eastAsia="仿宋_GB2312"/>
        </w:rPr>
        <w:t>2、具有良好的商业信誉和健全的财务会计制度：提供具有财务审计资质单位出具的2024年或2025年度审计报告或提供供应商基本存款账户信息及开标日期前90日内其基本存款账户开户银行出具的资信证明。以上形式的证明资料提供任何一种即可。</w:t>
      </w:r>
    </w:p>
    <w:p>
      <w:pPr>
        <w:pStyle w:val="null3"/>
      </w:pPr>
      <w:r>
        <w:rPr>
          <w:rFonts w:ascii="仿宋_GB2312" w:hAnsi="仿宋_GB2312" w:cs="仿宋_GB2312" w:eastAsia="仿宋_GB2312"/>
        </w:rPr>
        <w:t>3、具有履行合同所必需的设备和专业技术能力：出具履行合同所必需的设备和专业技术能力的书面声明。</w:t>
      </w:r>
    </w:p>
    <w:p>
      <w:pPr>
        <w:pStyle w:val="null3"/>
      </w:pPr>
      <w:r>
        <w:rPr>
          <w:rFonts w:ascii="仿宋_GB2312" w:hAnsi="仿宋_GB2312" w:cs="仿宋_GB2312" w:eastAsia="仿宋_GB2312"/>
        </w:rPr>
        <w:t>4、有依法缴纳税收和社会保障资金的良好记录：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pPr>
        <w:pStyle w:val="null3"/>
      </w:pPr>
      <w:r>
        <w:rPr>
          <w:rFonts w:ascii="仿宋_GB2312" w:hAnsi="仿宋_GB2312" w:cs="仿宋_GB2312" w:eastAsia="仿宋_GB2312"/>
        </w:rPr>
        <w:t>5、参加政府采购活动前三年内，在经营活动中没有重大违法记录：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6、法定代表人身份证明或法定代表人授权委托书：法定代表人参加投标的，须提供本人身份证加盖公章的复印件；法定代表人授权他人参加投标的，须提供法定代表人授权委托书及被授权代表的身份证复印件。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7、企业资质：供应商具备建筑工程施工总承包三级及以上资质且具有有效的安全生产许可证（提供证明材料）。</w:t>
      </w:r>
    </w:p>
    <w:p>
      <w:pPr>
        <w:pStyle w:val="null3"/>
      </w:pPr>
      <w:r>
        <w:rPr>
          <w:rFonts w:ascii="仿宋_GB2312" w:hAnsi="仿宋_GB2312" w:cs="仿宋_GB2312" w:eastAsia="仿宋_GB2312"/>
        </w:rPr>
        <w:t>8、拟派项目经理资质与专业要求：1.项目经理具有建筑工程专业二级及以上注册建造师资格且具有有效的安全生产考核合格的B证书； 2.本单位注册且未担任其它在施建设工程的项目经理（提供承诺书）。</w:t>
      </w:r>
    </w:p>
    <w:p>
      <w:pPr>
        <w:pStyle w:val="null3"/>
      </w:pPr>
      <w:r>
        <w:rPr>
          <w:rFonts w:ascii="仿宋_GB2312" w:hAnsi="仿宋_GB2312" w:cs="仿宋_GB2312" w:eastAsia="仿宋_GB2312"/>
        </w:rPr>
        <w:t>9、本项目专门面向中小企业采购：提供中小企业声明函（监狱企业视同小型、微型企业，应提供相应文件）。</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西安市机关事务服务中心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陕西省西安市未央区陕西省西安市经济技术开发区元鼎路明丰伯马都A座1707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17829203964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采购包1：328,172.22元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文件规定及国家发展改革委《关于降低部分建设项目收费标准规范收费行为等有关问题的通知》[2011]534号工程类规定收取，不足5000元的，按5000元收费。由成交供应商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联系电话：17829203964</w:t>
      </w:r>
    </w:p>
    <w:p>
      <w:pPr>
        <w:pStyle w:val="null3"/>
      </w:pPr>
      <w:r>
        <w:rPr>
          <w:rFonts w:ascii="仿宋_GB2312" w:hAnsi="仿宋_GB2312" w:cs="仿宋_GB2312" w:eastAsia="仿宋_GB2312"/>
        </w:rPr>
        <w:t>地址：陕西省西安市经济开发区元鼎路明丰伯马都A座1707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328,172.22</w:t>
      </w:r>
    </w:p>
    <w:p>
      <w:pPr>
        <w:pStyle w:val="null3"/>
      </w:pPr>
      <w:r>
        <w:rPr>
          <w:rFonts w:ascii="仿宋_GB2312" w:hAnsi="仿宋_GB2312" w:cs="仿宋_GB2312" w:eastAsia="仿宋_GB2312"/>
        </w:rPr>
        <w:t>采购包最高限价（元）: 328,172.22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市政府办公区路面塌陷维修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328,172.22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标的名称：市政府办公区路面塌陷维修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一、工程概况</w:t>
            </w:r>
          </w:p>
          <w:p>
            <w:pPr>
              <w:pStyle w:val="null3"/>
            </w:pPr>
            <w:r>
              <w:rPr>
                <w:rFonts w:ascii="仿宋_GB2312" w:hAnsi="仿宋_GB2312" w:cs="仿宋_GB2312" w:eastAsia="仿宋_GB2312"/>
                <w:sz w:val="20"/>
              </w:rPr>
              <w:t>本工程为</w:t>
            </w:r>
            <w:r>
              <w:rPr>
                <w:rFonts w:ascii="仿宋_GB2312" w:hAnsi="仿宋_GB2312" w:cs="仿宋_GB2312" w:eastAsia="仿宋_GB2312"/>
                <w:sz w:val="20"/>
              </w:rPr>
              <w:t>西安市机关事务服务中心市政府办公区路面塌陷维修项目</w:t>
            </w:r>
            <w:r>
              <w:rPr>
                <w:rFonts w:ascii="仿宋_GB2312" w:hAnsi="仿宋_GB2312" w:cs="仿宋_GB2312" w:eastAsia="仿宋_GB2312"/>
                <w:sz w:val="20"/>
              </w:rPr>
              <w:t>，具体内容详见清单。</w:t>
            </w:r>
          </w:p>
          <w:p>
            <w:pPr>
              <w:pStyle w:val="null3"/>
            </w:pPr>
            <w:r>
              <w:rPr>
                <w:rFonts w:ascii="仿宋_GB2312" w:hAnsi="仿宋_GB2312" w:cs="仿宋_GB2312" w:eastAsia="仿宋_GB2312"/>
                <w:sz w:val="20"/>
                <w:b/>
              </w:rPr>
              <w:t>二、工程内容和施工地点、计划工期、缺陷责任期、质量保修期</w:t>
            </w:r>
          </w:p>
          <w:p>
            <w:pPr>
              <w:pStyle w:val="null3"/>
            </w:pPr>
            <w:r>
              <w:rPr>
                <w:rFonts w:ascii="仿宋_GB2312" w:hAnsi="仿宋_GB2312" w:cs="仿宋_GB2312" w:eastAsia="仿宋_GB2312"/>
                <w:sz w:val="20"/>
              </w:rPr>
              <w:t>（一）工程内容：</w:t>
            </w:r>
            <w:r>
              <w:rPr>
                <w:rFonts w:ascii="仿宋_GB2312" w:hAnsi="仿宋_GB2312" w:cs="仿宋_GB2312" w:eastAsia="仿宋_GB2312"/>
                <w:sz w:val="20"/>
              </w:rPr>
              <w:t>西安市机关事务服务中心市政府办公区路面塌陷维修项目</w:t>
            </w:r>
          </w:p>
          <w:p>
            <w:pPr>
              <w:pStyle w:val="null3"/>
            </w:pPr>
            <w:r>
              <w:rPr>
                <w:rFonts w:ascii="仿宋_GB2312" w:hAnsi="仿宋_GB2312" w:cs="仿宋_GB2312" w:eastAsia="仿宋_GB2312"/>
                <w:sz w:val="20"/>
              </w:rPr>
              <w:t>（二）工程地点：</w:t>
            </w:r>
            <w:r>
              <w:rPr>
                <w:rFonts w:ascii="仿宋_GB2312" w:hAnsi="仿宋_GB2312" w:cs="仿宋_GB2312" w:eastAsia="仿宋_GB2312"/>
                <w:sz w:val="20"/>
              </w:rPr>
              <w:t>西安市政府办公区</w:t>
            </w:r>
          </w:p>
          <w:p>
            <w:pPr>
              <w:pStyle w:val="null3"/>
            </w:pPr>
            <w:r>
              <w:rPr>
                <w:rFonts w:ascii="仿宋_GB2312" w:hAnsi="仿宋_GB2312" w:cs="仿宋_GB2312" w:eastAsia="仿宋_GB2312"/>
                <w:sz w:val="20"/>
              </w:rPr>
              <w:t>（三）工期：</w:t>
            </w:r>
            <w:r>
              <w:rPr>
                <w:rFonts w:ascii="仿宋_GB2312" w:hAnsi="仿宋_GB2312" w:cs="仿宋_GB2312" w:eastAsia="仿宋_GB2312"/>
                <w:sz w:val="20"/>
              </w:rPr>
              <w:t>35日历天</w:t>
            </w:r>
            <w:r>
              <w:rPr>
                <w:rFonts w:ascii="仿宋_GB2312" w:hAnsi="仿宋_GB2312" w:cs="仿宋_GB2312" w:eastAsia="仿宋_GB2312"/>
                <w:sz w:val="20"/>
              </w:rPr>
              <w:t>。</w:t>
            </w:r>
          </w:p>
          <w:p>
            <w:pPr>
              <w:pStyle w:val="null3"/>
            </w:pPr>
            <w:r>
              <w:rPr>
                <w:rFonts w:ascii="仿宋_GB2312" w:hAnsi="仿宋_GB2312" w:cs="仿宋_GB2312" w:eastAsia="仿宋_GB2312"/>
                <w:sz w:val="20"/>
              </w:rPr>
              <w:t>（四）缺陷责任期（与工程质量保证金的退还有关）：</w:t>
            </w:r>
            <w:r>
              <w:rPr>
                <w:rFonts w:ascii="仿宋_GB2312" w:hAnsi="仿宋_GB2312" w:cs="仿宋_GB2312" w:eastAsia="仿宋_GB2312"/>
                <w:sz w:val="20"/>
              </w:rPr>
              <w:t>自工程竣工验收之日起</w:t>
            </w:r>
            <w:r>
              <w:rPr>
                <w:rFonts w:ascii="仿宋_GB2312" w:hAnsi="仿宋_GB2312" w:cs="仿宋_GB2312" w:eastAsia="仿宋_GB2312"/>
                <w:sz w:val="20"/>
              </w:rPr>
              <w:t>2年</w:t>
            </w:r>
            <w:r>
              <w:rPr>
                <w:rFonts w:ascii="仿宋_GB2312" w:hAnsi="仿宋_GB2312" w:cs="仿宋_GB2312" w:eastAsia="仿宋_GB2312"/>
                <w:sz w:val="20"/>
              </w:rPr>
              <w:t>。</w:t>
            </w:r>
          </w:p>
          <w:p>
            <w:pPr>
              <w:pStyle w:val="null3"/>
            </w:pPr>
            <w:r>
              <w:rPr>
                <w:rFonts w:ascii="仿宋_GB2312" w:hAnsi="仿宋_GB2312" w:cs="仿宋_GB2312" w:eastAsia="仿宋_GB2312"/>
                <w:sz w:val="20"/>
              </w:rPr>
              <w:t>（五）质量保修期（与工程质量保证金的退还无关）：</w:t>
            </w:r>
            <w:r>
              <w:rPr>
                <w:rFonts w:ascii="仿宋_GB2312" w:hAnsi="仿宋_GB2312" w:cs="仿宋_GB2312" w:eastAsia="仿宋_GB2312"/>
                <w:sz w:val="20"/>
              </w:rPr>
              <w:t>自工程竣工验收之日起５年</w:t>
            </w:r>
            <w:r>
              <w:rPr>
                <w:rFonts w:ascii="仿宋_GB2312" w:hAnsi="仿宋_GB2312" w:cs="仿宋_GB2312" w:eastAsia="仿宋_GB2312"/>
                <w:sz w:val="20"/>
              </w:rPr>
              <w:t>。</w:t>
            </w:r>
          </w:p>
          <w:p>
            <w:pPr>
              <w:pStyle w:val="null3"/>
            </w:pPr>
            <w:r>
              <w:rPr>
                <w:rFonts w:ascii="仿宋_GB2312" w:hAnsi="仿宋_GB2312" w:cs="仿宋_GB2312" w:eastAsia="仿宋_GB2312"/>
                <w:sz w:val="20"/>
              </w:rPr>
              <w:t>三、报价方式：</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依据清单结合院内工程环境，按市场价自主报价，每项均作为单项工程报价</w:t>
            </w:r>
            <w:r>
              <w:rPr>
                <w:rFonts w:ascii="仿宋_GB2312" w:hAnsi="仿宋_GB2312" w:cs="仿宋_GB2312" w:eastAsia="仿宋_GB2312"/>
                <w:sz w:val="20"/>
                <w:b/>
              </w:rPr>
              <w:t>（</w:t>
            </w:r>
            <w:r>
              <w:rPr>
                <w:rFonts w:ascii="仿宋_GB2312" w:hAnsi="仿宋_GB2312" w:cs="仿宋_GB2312" w:eastAsia="仿宋_GB2312"/>
                <w:sz w:val="20"/>
                <w:b/>
              </w:rPr>
              <w:t>包含工程费用、措施费、杂费、规费、人工服务费、设备使用、文件资料费等产生的一切相关费用</w:t>
            </w:r>
            <w:r>
              <w:rPr>
                <w:rFonts w:ascii="仿宋_GB2312" w:hAnsi="仿宋_GB2312" w:cs="仿宋_GB2312" w:eastAsia="仿宋_GB2312"/>
                <w:sz w:val="20"/>
                <w:b/>
              </w:rPr>
              <w:t>）</w:t>
            </w:r>
            <w:r>
              <w:rPr>
                <w:rFonts w:ascii="仿宋_GB2312" w:hAnsi="仿宋_GB2312" w:cs="仿宋_GB2312" w:eastAsia="仿宋_GB2312"/>
                <w:sz w:val="20"/>
              </w:rPr>
              <w:t>。</w:t>
            </w:r>
          </w:p>
          <w:p>
            <w:pPr>
              <w:pStyle w:val="null3"/>
            </w:pPr>
            <w:r>
              <w:rPr>
                <w:rFonts w:ascii="仿宋_GB2312" w:hAnsi="仿宋_GB2312" w:cs="仿宋_GB2312" w:eastAsia="仿宋_GB2312"/>
                <w:sz w:val="20"/>
              </w:rPr>
              <w:t>分项清单：</w:t>
            </w:r>
          </w:p>
          <w:tbl>
            <w:tblPr>
              <w:tblInd w:type="dxa" w:w="240"/>
              <w:tblBorders>
                <w:top w:val="none" w:color="000000" w:sz="4"/>
                <w:left w:val="none" w:color="000000" w:sz="4"/>
                <w:bottom w:val="none" w:color="000000" w:sz="4"/>
                <w:right w:val="none" w:color="000000" w:sz="4"/>
                <w:insideH w:val="none"/>
                <w:insideV w:val="none"/>
              </w:tblBorders>
            </w:tblPr>
            <w:tblGrid>
              <w:gridCol w:w="274"/>
              <w:gridCol w:w="542"/>
              <w:gridCol w:w="836"/>
              <w:gridCol w:w="392"/>
              <w:gridCol w:w="436"/>
            </w:tblGrid>
            <w:tr>
              <w:tc>
                <w:tcPr>
                  <w:tcW w:type="dxa" w:w="2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8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3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74"/>
                  <w:vMerge/>
                  <w:tcBorders>
                    <w:top w:val="single" w:color="000000" w:sz="4"/>
                    <w:left w:val="singl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c>
                <w:tcPr>
                  <w:tcW w:type="dxa" w:w="836"/>
                  <w:vMerge/>
                  <w:tcBorders>
                    <w:top w:val="single" w:color="000000" w:sz="4"/>
                    <w:left w:val="none" w:color="000000" w:sz="4"/>
                    <w:bottom w:val="single" w:color="000000" w:sz="4"/>
                    <w:right w:val="single" w:color="000000" w:sz="4"/>
                  </w:tcBorders>
                </w:tcPr>
                <w:p/>
              </w:tc>
              <w:tc>
                <w:tcPr>
                  <w:tcW w:type="dxa" w:w="392"/>
                  <w:vMerge/>
                  <w:tcBorders>
                    <w:top w:val="single" w:color="000000" w:sz="4"/>
                    <w:left w:val="none" w:color="000000" w:sz="4"/>
                    <w:bottom w:val="single" w:color="000000" w:sz="4"/>
                    <w:right w:val="single" w:color="000000" w:sz="4"/>
                  </w:tcBorders>
                </w:tcPr>
                <w:p/>
              </w:tc>
              <w:tc>
                <w:tcPr>
                  <w:tcW w:type="dxa" w:w="436"/>
                  <w:vMerge/>
                  <w:tcBorders>
                    <w:top w:val="singl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花岗岩铺装</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011705001001</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平面块料拆除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1.50mm石材</w:t>
                  </w:r>
                  <w:r>
                    <w:br/>
                  </w:r>
                  <w:r>
                    <w:rPr>
                      <w:rFonts w:ascii="仿宋_GB2312" w:hAnsi="仿宋_GB2312" w:cs="仿宋_GB2312" w:eastAsia="仿宋_GB2312"/>
                      <w:sz w:val="20"/>
                      <w:color w:val="000000"/>
                    </w:rPr>
                    <w:t>2.30mm水泥砂浆粘接层</w:t>
                  </w:r>
                  <w:r>
                    <w:br/>
                  </w:r>
                  <w:r>
                    <w:rPr>
                      <w:rFonts w:ascii="仿宋_GB2312" w:hAnsi="仿宋_GB2312" w:cs="仿宋_GB2312" w:eastAsia="仿宋_GB2312"/>
                      <w:sz w:val="20"/>
                      <w:color w:val="000000"/>
                    </w:rPr>
                    <w:t>3.200mm混凝土垫层</w:t>
                  </w:r>
                  <w:r>
                    <w:br/>
                  </w:r>
                  <w:r>
                    <w:rPr>
                      <w:rFonts w:ascii="仿宋_GB2312" w:hAnsi="仿宋_GB2312" w:cs="仿宋_GB2312" w:eastAsia="仿宋_GB2312"/>
                      <w:sz w:val="20"/>
                      <w:color w:val="000000"/>
                    </w:rPr>
                    <w:t>4.300mm灰土垫层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505</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010103002001</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余方弃置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1.土石类别:建筑垃圾</w:t>
                  </w:r>
                  <w:r>
                    <w:br/>
                  </w:r>
                  <w:r>
                    <w:rPr>
                      <w:rFonts w:ascii="仿宋_GB2312" w:hAnsi="仿宋_GB2312" w:cs="仿宋_GB2312" w:eastAsia="仿宋_GB2312"/>
                      <w:sz w:val="20"/>
                      <w:color w:val="000000"/>
                    </w:rPr>
                    <w:t>2.运距:10km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1.装卸</w:t>
                  </w:r>
                  <w:r>
                    <w:br/>
                  </w:r>
                  <w:r>
                    <w:rPr>
                      <w:rFonts w:ascii="仿宋_GB2312" w:hAnsi="仿宋_GB2312" w:cs="仿宋_GB2312" w:eastAsia="仿宋_GB2312"/>
                      <w:sz w:val="20"/>
                      <w:color w:val="000000"/>
                    </w:rPr>
                    <w:t>2.外运</w:t>
                  </w:r>
                  <w:r>
                    <w:br/>
                  </w:r>
                  <w:r>
                    <w:rPr>
                      <w:rFonts w:ascii="仿宋_GB2312" w:hAnsi="仿宋_GB2312" w:cs="仿宋_GB2312" w:eastAsia="仿宋_GB2312"/>
                      <w:sz w:val="20"/>
                      <w:color w:val="000000"/>
                    </w:rPr>
                    <w:t>3.消纳</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379.66</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011601003001</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块料道路面层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1.50mm花岗岩石材 300*600</w:t>
                  </w:r>
                  <w:r>
                    <w:br/>
                  </w:r>
                  <w:r>
                    <w:rPr>
                      <w:rFonts w:ascii="仿宋_GB2312" w:hAnsi="仿宋_GB2312" w:cs="仿宋_GB2312" w:eastAsia="仿宋_GB2312"/>
                      <w:sz w:val="20"/>
                      <w:color w:val="000000"/>
                    </w:rPr>
                    <w:t>2.30mm水泥砂浆粘接层</w:t>
                  </w:r>
                  <w:r>
                    <w:br/>
                  </w:r>
                  <w:r>
                    <w:rPr>
                      <w:rFonts w:ascii="仿宋_GB2312" w:hAnsi="仿宋_GB2312" w:cs="仿宋_GB2312" w:eastAsia="仿宋_GB2312"/>
                      <w:sz w:val="20"/>
                      <w:color w:val="000000"/>
                    </w:rPr>
                    <w:t>3.200mmC20混凝土垫层</w:t>
                  </w:r>
                  <w:r>
                    <w:br/>
                  </w:r>
                  <w:r>
                    <w:rPr>
                      <w:rFonts w:ascii="仿宋_GB2312" w:hAnsi="仿宋_GB2312" w:cs="仿宋_GB2312" w:eastAsia="仿宋_GB2312"/>
                      <w:sz w:val="20"/>
                      <w:color w:val="000000"/>
                    </w:rPr>
                    <w:t>4.300mm3:7灰土垫层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2.找平层铺设</w:t>
                  </w:r>
                  <w:r>
                    <w:br/>
                  </w:r>
                  <w:r>
                    <w:rPr>
                      <w:rFonts w:ascii="仿宋_GB2312" w:hAnsi="仿宋_GB2312" w:cs="仿宋_GB2312" w:eastAsia="仿宋_GB2312"/>
                      <w:sz w:val="20"/>
                      <w:color w:val="000000"/>
                    </w:rPr>
                    <w:t>3.面层铺设、磨边</w:t>
                  </w:r>
                  <w:r>
                    <w:br/>
                  </w:r>
                  <w:r>
                    <w:rPr>
                      <w:rFonts w:ascii="仿宋_GB2312" w:hAnsi="仿宋_GB2312" w:cs="仿宋_GB2312" w:eastAsia="仿宋_GB2312"/>
                      <w:sz w:val="20"/>
                      <w:color w:val="000000"/>
                    </w:rPr>
                    <w:t>4.嵌缝、勾缝</w:t>
                  </w:r>
                  <w:r>
                    <w:br/>
                  </w:r>
                  <w:r>
                    <w:rPr>
                      <w:rFonts w:ascii="仿宋_GB2312" w:hAnsi="仿宋_GB2312" w:cs="仿宋_GB2312" w:eastAsia="仿宋_GB2312"/>
                      <w:sz w:val="20"/>
                      <w:color w:val="000000"/>
                    </w:rPr>
                    <w:t>5.刷防护材料</w:t>
                  </w:r>
                  <w:r>
                    <w:br/>
                  </w:r>
                  <w:r>
                    <w:rPr>
                      <w:rFonts w:ascii="仿宋_GB2312" w:hAnsi="仿宋_GB2312" w:cs="仿宋_GB2312" w:eastAsia="仿宋_GB2312"/>
                      <w:sz w:val="20"/>
                      <w:color w:val="000000"/>
                    </w:rPr>
                    <w:t>6.清洗</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505</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沥青铺装</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011705001002</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平面块料拆除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1.10cm沥青混凝土层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010103002002</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余方弃置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1.土石类别:建筑垃圾</w:t>
                  </w:r>
                  <w:r>
                    <w:br/>
                  </w:r>
                  <w:r>
                    <w:rPr>
                      <w:rFonts w:ascii="仿宋_GB2312" w:hAnsi="仿宋_GB2312" w:cs="仿宋_GB2312" w:eastAsia="仿宋_GB2312"/>
                      <w:sz w:val="20"/>
                      <w:color w:val="000000"/>
                    </w:rPr>
                    <w:t>2.运距:10km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1.装卸</w:t>
                  </w:r>
                  <w:r>
                    <w:br/>
                  </w:r>
                  <w:r>
                    <w:rPr>
                      <w:rFonts w:ascii="仿宋_GB2312" w:hAnsi="仿宋_GB2312" w:cs="仿宋_GB2312" w:eastAsia="仿宋_GB2312"/>
                      <w:sz w:val="20"/>
                      <w:color w:val="000000"/>
                    </w:rPr>
                    <w:t>2.外运</w:t>
                  </w:r>
                  <w:r>
                    <w:br/>
                  </w:r>
                  <w:r>
                    <w:rPr>
                      <w:rFonts w:ascii="仿宋_GB2312" w:hAnsi="仿宋_GB2312" w:cs="仿宋_GB2312" w:eastAsia="仿宋_GB2312"/>
                      <w:sz w:val="20"/>
                      <w:color w:val="000000"/>
                    </w:rPr>
                    <w:t>3.消纳</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3</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011601001001</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沥青混凝土道路面层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1.40厚细粒式沥青混凝土(AC-13)</w:t>
                  </w:r>
                  <w:r>
                    <w:br/>
                  </w:r>
                  <w:r>
                    <w:rPr>
                      <w:rFonts w:ascii="仿宋_GB2312" w:hAnsi="仿宋_GB2312" w:cs="仿宋_GB2312" w:eastAsia="仿宋_GB2312"/>
                      <w:sz w:val="20"/>
                      <w:color w:val="000000"/>
                    </w:rPr>
                    <w:t>2.PC-3 乳化沥青粘层油（0.3L/m2）</w:t>
                  </w:r>
                  <w:r>
                    <w:br/>
                  </w:r>
                  <w:r>
                    <w:rPr>
                      <w:rFonts w:ascii="仿宋_GB2312" w:hAnsi="仿宋_GB2312" w:cs="仿宋_GB2312" w:eastAsia="仿宋_GB2312"/>
                      <w:sz w:val="20"/>
                      <w:color w:val="000000"/>
                    </w:rPr>
                    <w:t>3.60厚中粒式沥青混凝土(AC-20)</w:t>
                  </w:r>
                  <w:r>
                    <w:br/>
                  </w:r>
                  <w:r>
                    <w:rPr>
                      <w:rFonts w:ascii="仿宋_GB2312" w:hAnsi="仿宋_GB2312" w:cs="仿宋_GB2312" w:eastAsia="仿宋_GB2312"/>
                      <w:sz w:val="20"/>
                      <w:color w:val="000000"/>
                    </w:rPr>
                    <w:t>4.PC-3 乳化沥青透层油（0.7L/m2）</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2.喷油、布料</w:t>
                  </w:r>
                  <w:r>
                    <w:br/>
                  </w:r>
                  <w:r>
                    <w:rPr>
                      <w:rFonts w:ascii="仿宋_GB2312" w:hAnsi="仿宋_GB2312" w:cs="仿宋_GB2312" w:eastAsia="仿宋_GB2312"/>
                      <w:sz w:val="20"/>
                      <w:color w:val="000000"/>
                    </w:rPr>
                    <w:t>3.混凝土输送</w:t>
                  </w:r>
                  <w:r>
                    <w:br/>
                  </w:r>
                  <w:r>
                    <w:rPr>
                      <w:rFonts w:ascii="仿宋_GB2312" w:hAnsi="仿宋_GB2312" w:cs="仿宋_GB2312" w:eastAsia="仿宋_GB2312"/>
                      <w:sz w:val="20"/>
                      <w:color w:val="000000"/>
                    </w:rPr>
                    <w:t>4.摊铺、整平</w:t>
                  </w:r>
                  <w:r>
                    <w:br/>
                  </w:r>
                  <w:r>
                    <w:rPr>
                      <w:rFonts w:ascii="仿宋_GB2312" w:hAnsi="仿宋_GB2312" w:cs="仿宋_GB2312" w:eastAsia="仿宋_GB2312"/>
                      <w:sz w:val="20"/>
                      <w:color w:val="000000"/>
                    </w:rPr>
                    <w:t>5.压实、养护</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室内地砖零星更换</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011705001003</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平面块料拆除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1.拆除地砖及结合层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6.4</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010103002003</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余方弃置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1.土石类别:建筑垃圾</w:t>
                  </w:r>
                  <w:r>
                    <w:br/>
                  </w:r>
                  <w:r>
                    <w:rPr>
                      <w:rFonts w:ascii="仿宋_GB2312" w:hAnsi="仿宋_GB2312" w:cs="仿宋_GB2312" w:eastAsia="仿宋_GB2312"/>
                      <w:sz w:val="20"/>
                      <w:color w:val="000000"/>
                    </w:rPr>
                    <w:t>2.运距:10km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1.装卸</w:t>
                  </w:r>
                  <w:r>
                    <w:br/>
                  </w:r>
                  <w:r>
                    <w:rPr>
                      <w:rFonts w:ascii="仿宋_GB2312" w:hAnsi="仿宋_GB2312" w:cs="仿宋_GB2312" w:eastAsia="仿宋_GB2312"/>
                      <w:sz w:val="20"/>
                      <w:color w:val="000000"/>
                    </w:rPr>
                    <w:t>2.外运</w:t>
                  </w:r>
                  <w:r>
                    <w:br/>
                  </w:r>
                  <w:r>
                    <w:rPr>
                      <w:rFonts w:ascii="仿宋_GB2312" w:hAnsi="仿宋_GB2312" w:cs="仿宋_GB2312" w:eastAsia="仿宋_GB2312"/>
                      <w:sz w:val="20"/>
                      <w:color w:val="000000"/>
                    </w:rPr>
                    <w:t>3.消纳</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3</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0.27</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011108003001</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块料零星项目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1.800*800地砖</w:t>
                  </w:r>
                  <w:r>
                    <w:br/>
                  </w:r>
                  <w:r>
                    <w:rPr>
                      <w:rFonts w:ascii="仿宋_GB2312" w:hAnsi="仿宋_GB2312" w:cs="仿宋_GB2312" w:eastAsia="仿宋_GB2312"/>
                      <w:sz w:val="20"/>
                      <w:color w:val="000000"/>
                    </w:rPr>
                    <w:t>2.20mm水泥砂浆结合层</w:t>
                  </w:r>
                  <w:r>
                    <w:br/>
                  </w:r>
                  <w:r>
                    <w:rPr>
                      <w:rFonts w:ascii="仿宋_GB2312" w:hAnsi="仿宋_GB2312" w:cs="仿宋_GB2312" w:eastAsia="仿宋_GB2312"/>
                      <w:sz w:val="20"/>
                      <w:color w:val="000000"/>
                    </w:rPr>
                    <w:t>3.清理基层</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2.找平层铺设</w:t>
                  </w:r>
                  <w:r>
                    <w:br/>
                  </w:r>
                  <w:r>
                    <w:rPr>
                      <w:rFonts w:ascii="仿宋_GB2312" w:hAnsi="仿宋_GB2312" w:cs="仿宋_GB2312" w:eastAsia="仿宋_GB2312"/>
                      <w:sz w:val="20"/>
                      <w:color w:val="000000"/>
                    </w:rPr>
                    <w:t>3.面层铺设、磨边</w:t>
                  </w:r>
                  <w:r>
                    <w:br/>
                  </w:r>
                  <w:r>
                    <w:rPr>
                      <w:rFonts w:ascii="仿宋_GB2312" w:hAnsi="仿宋_GB2312" w:cs="仿宋_GB2312" w:eastAsia="仿宋_GB2312"/>
                      <w:sz w:val="20"/>
                      <w:color w:val="000000"/>
                    </w:rPr>
                    <w:t>4.勾缝</w:t>
                  </w:r>
                  <w:r>
                    <w:br/>
                  </w:r>
                  <w:r>
                    <w:rPr>
                      <w:rFonts w:ascii="仿宋_GB2312" w:hAnsi="仿宋_GB2312" w:cs="仿宋_GB2312" w:eastAsia="仿宋_GB2312"/>
                      <w:sz w:val="20"/>
                      <w:color w:val="000000"/>
                    </w:rPr>
                    <w:t>5.刷防护材料</w:t>
                  </w:r>
                  <w:r>
                    <w:br/>
                  </w:r>
                  <w:r>
                    <w:rPr>
                      <w:rFonts w:ascii="仿宋_GB2312" w:hAnsi="仿宋_GB2312" w:cs="仿宋_GB2312" w:eastAsia="仿宋_GB2312"/>
                      <w:sz w:val="20"/>
                      <w:color w:val="000000"/>
                    </w:rPr>
                    <w:t>6.酸洗、打蜡、结晶</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16"/>
                      <w:color w:val="000000"/>
                      <w:vertAlign w:val="superscript"/>
                    </w:rPr>
                    <w:t>2</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6.4</w:t>
                  </w:r>
                </w:p>
              </w:tc>
            </w:tr>
          </w:tbl>
          <w:p>
            <w:pPr>
              <w:pStyle w:val="null3"/>
            </w:pPr>
            <w:r>
              <w:rPr>
                <w:rFonts w:ascii="仿宋_GB2312" w:hAnsi="仿宋_GB2312" w:cs="仿宋_GB2312" w:eastAsia="仿宋_GB2312"/>
                <w:sz w:val="20"/>
              </w:rPr>
              <w:t>备注：</w:t>
            </w:r>
            <w:r>
              <w:rPr>
                <w:rFonts w:ascii="仿宋_GB2312" w:hAnsi="仿宋_GB2312" w:cs="仿宋_GB2312" w:eastAsia="仿宋_GB2312"/>
                <w:sz w:val="20"/>
              </w:rPr>
              <w:t>固定总价一次性包死，不受市场价格变化及税率变化因素的影响。（包含工程费用、措施费、杂费、规费、人工服务费、设备使用、文件资料费等产生的一切相关费用）</w:t>
            </w:r>
            <w:r>
              <w:rPr>
                <w:rFonts w:ascii="仿宋_GB2312" w:hAnsi="仿宋_GB2312" w:cs="仿宋_GB2312" w:eastAsia="仿宋_GB2312"/>
                <w:sz w:val="20"/>
              </w:rPr>
              <w:t>。</w:t>
            </w:r>
          </w:p>
          <w:p>
            <w:pPr>
              <w:pStyle w:val="null3"/>
            </w:pPr>
            <w:r>
              <w:rPr>
                <w:rFonts w:ascii="仿宋_GB2312" w:hAnsi="仿宋_GB2312" w:cs="仿宋_GB2312" w:eastAsia="仿宋_GB2312"/>
                <w:sz w:val="20"/>
                <w:b/>
              </w:rPr>
              <w:t>四、施工要求</w:t>
            </w:r>
          </w:p>
          <w:p>
            <w:pPr>
              <w:pStyle w:val="null3"/>
              <w:ind w:firstLine="400"/>
            </w:pPr>
            <w:r>
              <w:rPr>
                <w:rFonts w:ascii="仿宋_GB2312" w:hAnsi="仿宋_GB2312" w:cs="仿宋_GB2312" w:eastAsia="仿宋_GB2312"/>
                <w:sz w:val="20"/>
              </w:rPr>
              <w:t>1.在施工期间，成交供应商必须注意</w:t>
            </w:r>
            <w:r>
              <w:rPr>
                <w:rFonts w:ascii="仿宋_GB2312" w:hAnsi="仿宋_GB2312" w:cs="仿宋_GB2312" w:eastAsia="仿宋_GB2312"/>
                <w:sz w:val="20"/>
              </w:rPr>
              <w:t>办公区</w:t>
            </w:r>
            <w:r>
              <w:rPr>
                <w:rFonts w:ascii="仿宋_GB2312" w:hAnsi="仿宋_GB2312" w:cs="仿宋_GB2312" w:eastAsia="仿宋_GB2312"/>
                <w:sz w:val="20"/>
              </w:rPr>
              <w:t>内人员安全，加强安全措施，并对施工人员进行安全教育，施工人员必须持证上岗。</w:t>
            </w:r>
          </w:p>
          <w:p>
            <w:pPr>
              <w:pStyle w:val="null3"/>
              <w:ind w:firstLine="400"/>
            </w:pPr>
            <w:r>
              <w:rPr>
                <w:rFonts w:ascii="仿宋_GB2312" w:hAnsi="仿宋_GB2312" w:cs="仿宋_GB2312" w:eastAsia="仿宋_GB2312"/>
                <w:sz w:val="20"/>
              </w:rPr>
              <w:t>2.施工现场噪音、扬尘严格控制。</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.所有隐蔽工程需留存照片。</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.施工现场设立安全警戒区，由安全员现场监管。</w:t>
            </w:r>
          </w:p>
          <w:p>
            <w:pPr>
              <w:pStyle w:val="null3"/>
            </w:pPr>
            <w:r>
              <w:rPr>
                <w:rFonts w:ascii="仿宋_GB2312" w:hAnsi="仿宋_GB2312" w:cs="仿宋_GB2312" w:eastAsia="仿宋_GB2312"/>
                <w:sz w:val="20"/>
                <w:b/>
              </w:rPr>
              <w:t>五、商务要求</w:t>
            </w:r>
          </w:p>
          <w:p>
            <w:pPr>
              <w:pStyle w:val="null3"/>
              <w:ind w:firstLine="400"/>
            </w:pPr>
            <w:r>
              <w:rPr>
                <w:rFonts w:ascii="仿宋_GB2312" w:hAnsi="仿宋_GB2312" w:cs="仿宋_GB2312" w:eastAsia="仿宋_GB2312"/>
                <w:sz w:val="20"/>
              </w:rPr>
              <w:t>款项结算：</w:t>
            </w:r>
          </w:p>
          <w:p>
            <w:pPr>
              <w:pStyle w:val="null3"/>
            </w:pPr>
            <w:r>
              <w:rPr>
                <w:rFonts w:ascii="仿宋_GB2312" w:hAnsi="仿宋_GB2312" w:cs="仿宋_GB2312" w:eastAsia="仿宋_GB2312"/>
              </w:rPr>
              <w:t>1、 预付款，合同签订后，乙方根据甲方要求开展工作，达到付款条件起10个工作日内，支付合同总金额的40.0%；</w:t>
            </w:r>
          </w:p>
          <w:p>
            <w:pPr>
              <w:pStyle w:val="null3"/>
            </w:pPr>
            <w:r>
              <w:rPr>
                <w:rFonts w:ascii="仿宋_GB2312" w:hAnsi="仿宋_GB2312" w:cs="仿宋_GB2312" w:eastAsia="仿宋_GB2312"/>
              </w:rPr>
              <w:t>2、 进度款，项目验收合格后，达到付款条件起10个工作日内，支付合同总金额的60.0%。</w:t>
            </w:r>
          </w:p>
          <w:p>
            <w:pPr>
              <w:pStyle w:val="null3"/>
              <w:ind w:firstLine="400"/>
            </w:pPr>
            <w:r>
              <w:rPr>
                <w:rFonts w:ascii="仿宋_GB2312" w:hAnsi="仿宋_GB2312" w:cs="仿宋_GB2312" w:eastAsia="仿宋_GB2312"/>
                <w:sz w:val="20"/>
                <w:b/>
              </w:rPr>
              <w:t>六、其他：</w:t>
            </w:r>
          </w:p>
          <w:p>
            <w:pPr>
              <w:pStyle w:val="null3"/>
            </w:pPr>
            <w:r>
              <w:rPr>
                <w:rFonts w:ascii="仿宋_GB2312" w:hAnsi="仿宋_GB2312" w:cs="仿宋_GB2312" w:eastAsia="仿宋_GB2312"/>
                <w:sz w:val="20"/>
              </w:rPr>
              <w:t>（一）质量验收标准或规范</w:t>
            </w:r>
          </w:p>
          <w:p>
            <w:pPr>
              <w:pStyle w:val="null3"/>
              <w:ind w:firstLine="400"/>
            </w:pPr>
            <w:r>
              <w:rPr>
                <w:rFonts w:ascii="仿宋_GB2312" w:hAnsi="仿宋_GB2312" w:cs="仿宋_GB2312" w:eastAsia="仿宋_GB2312"/>
                <w:sz w:val="20"/>
              </w:rPr>
              <w:t>1.《建筑工程施工质量验收统一标准》（GB50300-2013）</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.与建设项目相关的法律、规范、标准等资料。</w:t>
            </w:r>
          </w:p>
          <w:p>
            <w:pPr>
              <w:pStyle w:val="null3"/>
            </w:pPr>
            <w:r>
              <w:rPr>
                <w:rFonts w:ascii="仿宋_GB2312" w:hAnsi="仿宋_GB2312" w:cs="仿宋_GB2312" w:eastAsia="仿宋_GB2312"/>
                <w:sz w:val="20"/>
              </w:rPr>
              <w:t>（二）违约责任</w:t>
            </w:r>
          </w:p>
          <w:p>
            <w:pPr>
              <w:pStyle w:val="null3"/>
              <w:ind w:firstLine="400"/>
            </w:pPr>
            <w:r>
              <w:rPr>
                <w:rFonts w:ascii="仿宋_GB2312" w:hAnsi="仿宋_GB2312" w:cs="仿宋_GB2312" w:eastAsia="仿宋_GB2312"/>
                <w:sz w:val="20"/>
              </w:rPr>
              <w:t>1.因甲方原因未完成工作，影响工期，工期顺延。</w:t>
            </w:r>
          </w:p>
          <w:p>
            <w:pPr>
              <w:pStyle w:val="null3"/>
              <w:ind w:firstLine="400"/>
            </w:pPr>
            <w:r>
              <w:rPr>
                <w:rFonts w:ascii="仿宋_GB2312" w:hAnsi="仿宋_GB2312" w:cs="仿宋_GB2312" w:eastAsia="仿宋_GB2312"/>
                <w:sz w:val="20"/>
              </w:rPr>
              <w:t>2.因乙方原因未完成工作，影响工期，工期不顺延，因此对甲方造成的各项经济损失由乙方承担。</w:t>
            </w:r>
          </w:p>
          <w:p>
            <w:pPr>
              <w:pStyle w:val="null3"/>
              <w:ind w:firstLine="400"/>
            </w:pPr>
            <w:r>
              <w:rPr>
                <w:rFonts w:ascii="仿宋_GB2312" w:hAnsi="仿宋_GB2312" w:cs="仿宋_GB2312" w:eastAsia="仿宋_GB2312"/>
                <w:sz w:val="20"/>
              </w:rPr>
              <w:t>3.乙方如未按时完工，拖延工期一天罚款当月签证单合同总价款的1 ‰ ，拖期</w:t>
            </w:r>
            <w:r>
              <w:rPr>
                <w:rFonts w:ascii="仿宋_GB2312" w:hAnsi="仿宋_GB2312" w:cs="仿宋_GB2312" w:eastAsia="仿宋_GB2312"/>
                <w:sz w:val="20"/>
              </w:rPr>
              <w:t>超过</w:t>
            </w:r>
            <w:r>
              <w:rPr>
                <w:rFonts w:ascii="仿宋_GB2312" w:hAnsi="仿宋_GB2312" w:cs="仿宋_GB2312" w:eastAsia="仿宋_GB2312"/>
                <w:sz w:val="20"/>
              </w:rPr>
              <w:t>10日</w:t>
            </w:r>
            <w:r>
              <w:rPr>
                <w:rFonts w:ascii="仿宋_GB2312" w:hAnsi="仿宋_GB2312" w:cs="仿宋_GB2312" w:eastAsia="仿宋_GB2312"/>
                <w:sz w:val="20"/>
              </w:rPr>
              <w:t>视为乙方根本违约，甲方有权解除合同（合同自甲方书面通知到达乙方时解除）并要求乙方赔偿按合同价款</w:t>
            </w:r>
            <w:r>
              <w:rPr>
                <w:rFonts w:ascii="仿宋_GB2312" w:hAnsi="仿宋_GB2312" w:cs="仿宋_GB2312" w:eastAsia="仿宋_GB2312"/>
                <w:sz w:val="20"/>
              </w:rPr>
              <w:t>30%的违约金。</w:t>
            </w:r>
          </w:p>
          <w:p>
            <w:pPr>
              <w:pStyle w:val="null3"/>
            </w:pPr>
            <w:r>
              <w:rPr>
                <w:rFonts w:ascii="仿宋_GB2312" w:hAnsi="仿宋_GB2312" w:cs="仿宋_GB2312" w:eastAsia="仿宋_GB2312"/>
                <w:sz w:val="21"/>
              </w:rPr>
              <w:t>（三）争议解决：执行过程中如发生争议，双方协商解决，若协商不成时，可向甲方所在地人民法院提起诉讼。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（一）工程量清单和计价依据1、与建设项目相关的标准、规范等技术资料；2、计价依据执行《建设工程工程量清单计价标准》（DB 61/T 5126—2025）；《陕西省建设工程费用规则》（2025）；《房屋建筑与装饰工程工程量计算标准》（DB 61/T 5129—2025）、《通用安装工程工程量计算标准》（DB 61/T 5130—2025）；《陕西省房屋建筑与装饰工程消耗量定额》（2025）、《陕西省通用安装工程消耗量定额》（2025）、《陕西省建设工程施工机械台班费用定额》（2025）、《陕西省建设工程施工仪器仪表台班费用定额》（2025）；《陕西省房屋建筑与装饰工程基价表》（2025）、《陕西省通用安装工程基价表》（2025）；现行相关的专业工程施工质量验收规范、标准、规定，以及正常的施工方法、施工工艺等；与建设项目相关的法律、规范、标准等资料； （二） 工程质量：达到国家施工验收规范“合格”标准； （三）请成交供应商在领取成交通知书时，递交响应文件一正二副，2份U盘电子版（word 、PDF签章扫描版）（纸质文件与线上评审电子文件保持一致）。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提供具有独立承担民事责任能力的法人或其他组织，提供合法有效的营业执照、税务登记证、组织机构代码证（三证合一的企业提供统一社会信用代码的营业执照）（原件的复印件加盖公章）。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提供具有财务审计资质单位出具的2024年或2025年度审计报告或提供供应商基本存款账户信息及开标日期前90日内其基本存款账户开户银行出具的资信证明。以上形式的证明资料提供任何一种即可。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出具履行合同所必需的设备和专业技术能力的书面声明。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供应商具备建筑工程施工总承包三级及以上资质且具有有效的安全生产许可证（提供证明材料）。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拟派项目经理资质与专业要求</w:t>
            </w:r>
          </w:p>
        </w:tc>
        <w:tc>
          <w:tcPr>
            <w:tcW w:type="dxa" w:w="3322"/>
          </w:tcPr>
          <w:p>
            <w:pPr>
              <w:pStyle w:val="null3"/>
            </w:pPr>
            <w:r>
              <w:rPr>
                <w:rFonts w:ascii="仿宋_GB2312" w:hAnsi="仿宋_GB2312" w:cs="仿宋_GB2312" w:eastAsia="仿宋_GB2312"/>
              </w:rPr>
              <w:t>1.项目经理具有建筑工程专业二级及以上注册建造师资格且具有有效的安全生产考核合格的B证书； 2.本单位注册且未担任其它在施建设工程的项目经理（提供承诺书）。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提供中小企业声明函（监狱企业视同小型、微型企业，应提供相应文件）。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技术方案.pdf 中小企业声明函 业绩一览表.pdf 报价一览表.pdf 响应文件封面 残疾人福利性单位声明函 报价函 标的清单 响应函 资格证明文件.pdf 监狱企业的证明文件 技术、服务、合同条款及其他商务要求应答表.pdf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1.投标报价是否超过采购限价；2. 投标文件内容是否符合国家法律法规，没有重大偏离；3. 对磋商文件中规定的要求是否做出了实质性响应。</w:t>
            </w:r>
          </w:p>
        </w:tc>
        <w:tc>
          <w:tcPr>
            <w:tcW w:type="dxa" w:w="1661"/>
          </w:tcPr>
          <w:p>
            <w:pPr>
              <w:pStyle w:val="null3"/>
            </w:pPr>
            <w:r>
              <w:rPr>
                <w:rFonts w:ascii="仿宋_GB2312" w:hAnsi="仿宋_GB2312" w:cs="仿宋_GB2312" w:eastAsia="仿宋_GB2312"/>
              </w:rPr>
              <w:t>响应文件封面 技术方案.pdf 报价函 标的清单 报价一览表.pdf 响应函 技术、服务、合同条款及其他商务要求应答表.pdf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施工方案总体说明</w:t>
            </w:r>
          </w:p>
        </w:tc>
        <w:tc>
          <w:tcPr>
            <w:tcW w:type="dxa" w:w="2492"/>
          </w:tcPr>
          <w:p>
            <w:pPr>
              <w:pStyle w:val="null3"/>
            </w:pPr>
            <w:r>
              <w:rPr>
                <w:rFonts w:ascii="仿宋_GB2312" w:hAnsi="仿宋_GB2312" w:cs="仿宋_GB2312" w:eastAsia="仿宋_GB2312"/>
              </w:rPr>
              <w:t>由磋商小组进行赋分，施工方案总体说明全面合理得8分，基本合理得6分，不够合理得4分，内容简单且方案不明确的得2分，未提供不得分。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由磋商小组进行赋分，工程质量的技术组织措施全面合理得8分，基本合理得6分，不够合理得4分，内容简单且方案不明确的得2分，未提供不得分。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由磋商小组进行赋分，安全生产的技术组织措施全面合理得8分，基本合理得6分，不够合理得4分，内容简单且方案不明确的得2分，未提供不得分。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w:t>
            </w:r>
          </w:p>
        </w:tc>
        <w:tc>
          <w:tcPr>
            <w:tcW w:type="dxa" w:w="2492"/>
          </w:tcPr>
          <w:p>
            <w:pPr>
              <w:pStyle w:val="null3"/>
            </w:pPr>
            <w:r>
              <w:rPr>
                <w:rFonts w:ascii="仿宋_GB2312" w:hAnsi="仿宋_GB2312" w:cs="仿宋_GB2312" w:eastAsia="仿宋_GB2312"/>
              </w:rPr>
              <w:t>由磋商小组进行赋分，文明施工的技术组织措施及环境保护措全面合理得5分，基本合理得4分，不够合理得3分，内容简单且方案不明确的得2分，未提供不得分。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由磋商小组进行赋分，团队人员除项目经理外包含但不限于技术负责人、施工员、质量员（或质检员）、材料员、机械员、资料员、安全员、造价员，每缺少一名人员扣1分，扣完为止。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由磋商小组进行赋分，施工机械配备和材料投入计划全面合理得5分，基本合理得4分，不够合理得3分，内容简单且方案不明确的得2分，未提供不得分。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由磋商小组进行赋分，施工进度表或施工网络图全面合理得5分，基本合理得4分，不够合理得3分，内容简单且方案不明确的得2分，未提供不得分。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由磋商小组进行赋分，劳动力安排计划及劳务分包情况表全面合理得5分，基本合理得4分，不够合理得3分，内容简单且方案不明确的得2分，未提供不得分。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由磋商小组进行赋分，施工总平面布置图全面合理得5分，基本合理得4分，不够合理得3分，内容简单且方案不明确的得2分，未提供不得分。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由磋商小组进行赋分，新技术、新产品、新工艺、新材料应用全面合理得5分，基本合理得4分，不够合理得3分，内容简单且方案不明确的得2分，未提供不得分。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技术、服务、合同条款及其他商务要求应答表.pdf</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提供2023年1月1日至响应截止时间（以合同签订时间为准）类似项目业绩，每提供一个业绩得2分，满分8分。评审依据：以加盖公章的业绩合同复印件为准，合同至少需包含合同首页、工程内容页、签章页。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满足采购文件要求且有效响应文件的最后报价（单项合计）的最低报价为评审基准价，其价格分为满分。其他供应商的价格分统一按照下列公式计算：投标报价得分=（评标基准价/最后报价）×30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