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版本号：RTZB-2026-202520260707001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陕西省尾矿库及非煤矿山安全生产风险监测预警系统（二期）升级项目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RTZB-2026-2025</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陕西省尾矿库及非煤矿山安全生产风险监测预警系统（二期）升级项目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RTZB-2026-2025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陕西省尾矿库及非煤矿山安全生产风险监测预警系统（二期）升级项目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在陕西省尾矿库安全生产风险监测预警系统（二期）基础上，增加在线监测标准体系建设管理、离线设备时长分级响应、在线监测数据质量考核评定、预警分级响应、监测预警类型。同时对企业合规化管理、线上监管巡查考核、风险分级评定管理进行功能升级。具体见采购需求。 采购包2：对陕西省非煤矿山安全生产风险监测预警系统（二期）进行功能提升，扩大监测预警范围、提升风险评估能力、优化事件协同处置能力、增加地下矿山井下人员精准定位数据对接及全省地下矿山生产作业人员监管等模块。具体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注册证照：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p>
      <w:pPr>
        <w:pStyle w:val="null3"/>
      </w:pPr>
      <w:r>
        <w:rPr>
          <w:rFonts w:ascii="仿宋_GB2312" w:hAnsi="仿宋_GB2312" w:cs="仿宋_GB2312" w:eastAsia="仿宋_GB2312"/>
        </w:rPr>
        <w:t>3、财务状况：提供2024或2025年度经第三方会计事务所审计过的财务报告，或投标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2026年1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7、联合体形式：本项目不接受联合体，提供非联合体声明。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注册证照：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p>
      <w:pPr>
        <w:pStyle w:val="null3"/>
      </w:pPr>
      <w:r>
        <w:rPr>
          <w:rFonts w:ascii="仿宋_GB2312" w:hAnsi="仿宋_GB2312" w:cs="仿宋_GB2312" w:eastAsia="仿宋_GB2312"/>
        </w:rPr>
        <w:t>3、财务状况：提供2024或2025年度经第三方会计事务所审计过的财务报告，或投标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2026年1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7、联合体形式：本项目不接受联合体，提供非联合体声明。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陕西省应急管理厅经办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029-61166718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采购包1：2,160,000.00元</w:t>
            </w:r>
          </w:p>
          <w:p>
            <w:pPr>
              <w:pStyle w:val="null3"/>
            </w:pPr>
            <w:r>
              <w:rPr>
                <w:rFonts w:ascii="仿宋_GB2312" w:hAnsi="仿宋_GB2312" w:cs="仿宋_GB2312" w:eastAsia="仿宋_GB2312"/>
              </w:rPr>
              <w:t>采购包2：1,840,000.00元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说明：中标后5个工作日内缴纳合同价款的5%。</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说明：中标后5个工作日内缴纳合同价款的5%。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的标准收取代理服务费。各包中标人在领取中标通知书前，须一次性足额向采购代理机构交纳代理服务费。代理服务费以转账或现金形式缴纳，转账信息向中标人通知。</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地址：西安市高新区科技路30号合力紫郡A座2204室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在陕西省尾矿库安全生产风险监测预警系统（二期）基础上，增加在线监测标准体系建设管理、离线设备时长分级响应、在线监测数据质量考核评定、预警分级响应、监测预警类型。同时对企业合规化管理、线上监管巡查考核、风险分级评定管理进行功能升级。 采购包2：对陕西省非煤矿山安全生产风险监测预警系统进行功能提升，扩大监测预警范围、提升风险评估能力、优化事件协同处置能力、增加地下矿山井下人员精准定位数据对接及全省地下矿山生产作业人员监管等模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2,160,000.00</w:t>
      </w:r>
    </w:p>
    <w:p>
      <w:pPr>
        <w:pStyle w:val="null3"/>
      </w:pPr>
      <w:r>
        <w:rPr>
          <w:rFonts w:ascii="仿宋_GB2312" w:hAnsi="仿宋_GB2312" w:cs="仿宋_GB2312" w:eastAsia="仿宋_GB2312"/>
        </w:rPr>
        <w:t>采购包最高限价（元）: 2,160,000.00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尾矿库安全生产风险监测预警系统升级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1,840,000.00</w:t>
      </w:r>
    </w:p>
    <w:p>
      <w:pPr>
        <w:pStyle w:val="null3"/>
      </w:pPr>
      <w:r>
        <w:rPr>
          <w:rFonts w:ascii="仿宋_GB2312" w:hAnsi="仿宋_GB2312" w:cs="仿宋_GB2312" w:eastAsia="仿宋_GB2312"/>
        </w:rPr>
        <w:t>采购包最高限价（元）: 1,840,000.00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非煤矿山安全生产风险监测预警系统升级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标的名称：尾矿库安全生产风险监测预警系统升级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sz w:val="20"/>
                <w:color w:val="0000FF"/>
              </w:rPr>
              <w:t>陕西省尾矿库安全生产风险监测预警系统（二期）主要建设内容为实现全省全部尾矿库基础信息、监测数据及监控设备数据统一接入归集，完成与国家部级系统互联互通，并配套建设完善综合监测、智能评估、精准预警、动态研判四大核心功能。系统通过搭建综合监测体系，对全省尾矿库监测监控数据、设备运行状态及预警数据进行集成分析，实现安全风险监测预警可视化展示；优化升级风险指数分析与固有属性评估模型，建立四级风险动态评估机制，提升全域尾矿库风险综合评估能力；构建专业化风险预警模型，实现风险预警自动生成、智能推送及处置闭环管理；依托调洪演算风险分析功能，完成尾矿库安全风险动态综合研判，全面构建起覆盖全省、智能精准、动态可控的尾矿库安全生产风险监测预警体系。</w:t>
            </w:r>
          </w:p>
          <w:p>
            <w:pPr>
              <w:pStyle w:val="null3"/>
              <w:ind w:firstLine="400"/>
              <w:jc w:val="both"/>
            </w:pPr>
            <w:r>
              <w:rPr>
                <w:rFonts w:ascii="仿宋_GB2312" w:hAnsi="仿宋_GB2312" w:cs="仿宋_GB2312" w:eastAsia="仿宋_GB2312"/>
                <w:sz w:val="20"/>
                <w:color w:val="0000FF"/>
              </w:rPr>
              <w:t>系统利用物联网关采集设备，依托互联网专线采集尾矿库企业的视频监控图像和在线监测数据。尾矿库企业通过在线监测系统采集降雨量、浸润线、库水位、内部位移、干滩长度等监测数据，滩顶放矿处、</w:t>
            </w:r>
            <w:r>
              <w:rPr>
                <w:rFonts w:ascii="仿宋_GB2312" w:hAnsi="仿宋_GB2312" w:cs="仿宋_GB2312" w:eastAsia="仿宋_GB2312"/>
                <w:sz w:val="20"/>
                <w:color w:val="0000FF"/>
              </w:rPr>
              <w:t>排水管道</w:t>
            </w:r>
            <w:r>
              <w:rPr>
                <w:rFonts w:ascii="仿宋_GB2312" w:hAnsi="仿宋_GB2312" w:cs="仿宋_GB2312" w:eastAsia="仿宋_GB2312"/>
                <w:sz w:val="20"/>
                <w:color w:val="0000FF"/>
              </w:rPr>
              <w:t>、排洪设施、库水位尺、坝面等关键部位视频通过超融合物联网应用系统上传至陕西省尾矿库安全生产监测预警系统，数据存储至尾矿库专题数据资源池，资源池中包含气象、水利、地质地震、三维倾斜摄影等数据，供省厅用户、地市用户、县区用户、其他用户（企业用户等）进行数据查看及监管。再通过数据交换系统将其接入应急管理部的应急管理大数据应用平台</w:t>
            </w:r>
          </w:p>
          <w:p>
            <w:pPr>
              <w:pStyle w:val="null3"/>
              <w:ind w:firstLine="400"/>
              <w:jc w:val="both"/>
            </w:pPr>
            <w:r>
              <w:rPr>
                <w:rFonts w:ascii="仿宋_GB2312" w:hAnsi="仿宋_GB2312" w:cs="仿宋_GB2312" w:eastAsia="仿宋_GB2312"/>
                <w:sz w:val="20"/>
                <w:color w:val="0000FF"/>
              </w:rPr>
              <w:t>现有系统运</w:t>
            </w:r>
            <w:r>
              <w:rPr>
                <w:rFonts w:ascii="仿宋_GB2312" w:hAnsi="仿宋_GB2312" w:cs="仿宋_GB2312" w:eastAsia="仿宋_GB2312"/>
                <w:sz w:val="20"/>
                <w:color w:val="0000FF"/>
              </w:rPr>
              <w:t>行</w:t>
            </w:r>
            <w:r>
              <w:rPr>
                <w:rFonts w:ascii="仿宋_GB2312" w:hAnsi="仿宋_GB2312" w:cs="仿宋_GB2312" w:eastAsia="仿宋_GB2312"/>
                <w:sz w:val="20"/>
                <w:color w:val="0000FF"/>
              </w:rPr>
              <w:t>环境</w:t>
            </w:r>
            <w:r>
              <w:rPr>
                <w:rFonts w:ascii="仿宋_GB2312" w:hAnsi="仿宋_GB2312" w:cs="仿宋_GB2312" w:eastAsia="仿宋_GB2312"/>
                <w:sz w:val="20"/>
                <w:color w:val="0000FF"/>
              </w:rPr>
              <w:t>:</w:t>
            </w:r>
            <w:r>
              <w:rPr>
                <w:rFonts w:ascii="仿宋_GB2312" w:hAnsi="仿宋_GB2312" w:cs="仿宋_GB2312" w:eastAsia="仿宋_GB2312"/>
                <w:sz w:val="20"/>
                <w:color w:val="0000FF"/>
              </w:rPr>
              <w:t>银</w:t>
            </w:r>
            <w:r>
              <w:rPr>
                <w:rFonts w:ascii="仿宋_GB2312" w:hAnsi="仿宋_GB2312" w:cs="仿宋_GB2312" w:eastAsia="仿宋_GB2312"/>
                <w:sz w:val="20"/>
                <w:color w:val="0000FF"/>
              </w:rPr>
              <w:t>河麒麟</w:t>
            </w:r>
            <w:r>
              <w:rPr>
                <w:rFonts w:ascii="仿宋_GB2312" w:hAnsi="仿宋_GB2312" w:cs="仿宋_GB2312" w:eastAsia="仿宋_GB2312"/>
                <w:sz w:val="20"/>
                <w:color w:val="0000FF"/>
              </w:rPr>
              <w:t>V10</w:t>
            </w:r>
            <w:r>
              <w:rPr>
                <w:rFonts w:ascii="仿宋_GB2312" w:hAnsi="仿宋_GB2312" w:cs="仿宋_GB2312" w:eastAsia="仿宋_GB2312"/>
                <w:sz w:val="20"/>
                <w:color w:val="0000FF"/>
              </w:rPr>
              <w:t>；</w:t>
            </w:r>
            <w:r>
              <w:rPr>
                <w:rFonts w:ascii="仿宋_GB2312" w:hAnsi="仿宋_GB2312" w:cs="仿宋_GB2312" w:eastAsia="仿宋_GB2312"/>
                <w:sz w:val="20"/>
                <w:color w:val="0000FF"/>
              </w:rPr>
              <w:t>数据库类型：</w:t>
            </w:r>
            <w:r>
              <w:rPr>
                <w:rFonts w:ascii="仿宋_GB2312" w:hAnsi="仿宋_GB2312" w:cs="仿宋_GB2312" w:eastAsia="仿宋_GB2312"/>
                <w:sz w:val="20"/>
                <w:color w:val="0000FF"/>
              </w:rPr>
              <w:t>KingbaseV9</w:t>
            </w:r>
            <w:r>
              <w:rPr>
                <w:rFonts w:ascii="仿宋_GB2312" w:hAnsi="仿宋_GB2312" w:cs="仿宋_GB2312" w:eastAsia="仿宋_GB2312"/>
                <w:sz w:val="20"/>
                <w:color w:val="0000FF"/>
              </w:rPr>
              <w:t>，</w:t>
            </w:r>
            <w:r>
              <w:rPr>
                <w:rFonts w:ascii="仿宋_GB2312" w:hAnsi="仿宋_GB2312" w:cs="仿宋_GB2312" w:eastAsia="仿宋_GB2312"/>
                <w:sz w:val="20"/>
                <w:color w:val="0000FF"/>
              </w:rPr>
              <w:t>tongrds</w:t>
            </w:r>
            <w:r>
              <w:rPr>
                <w:rFonts w:ascii="仿宋_GB2312" w:hAnsi="仿宋_GB2312" w:cs="仿宋_GB2312" w:eastAsia="仿宋_GB2312"/>
                <w:sz w:val="20"/>
                <w:color w:val="0000FF"/>
              </w:rPr>
              <w:t>；</w:t>
            </w:r>
            <w:r>
              <w:rPr>
                <w:rFonts w:ascii="仿宋_GB2312" w:hAnsi="仿宋_GB2312" w:cs="仿宋_GB2312" w:eastAsia="仿宋_GB2312"/>
                <w:sz w:val="20"/>
                <w:color w:val="0000FF"/>
              </w:rPr>
              <w:t>开发环境：</w:t>
            </w:r>
            <w:r>
              <w:rPr>
                <w:rFonts w:ascii="仿宋_GB2312" w:hAnsi="仿宋_GB2312" w:cs="仿宋_GB2312" w:eastAsia="仿宋_GB2312"/>
                <w:sz w:val="20"/>
                <w:color w:val="0000FF"/>
              </w:rPr>
              <w:t>jdk8+vue+springboot</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1"/>
                <w:color w:val="0000FF"/>
              </w:rPr>
              <w:t>本项目在陕西省尾矿库安全生产风险监测预警系统（二期）基础上，增加在线监测标准体系建设管理、离线设备时长分级响应、在线监测数据质量考核评定、预警分级响应、监测预警类型。同时对企业合规化管理、线上监管巡查考核、风险分级评定管理进行功能升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jc w:val="both"/>
              <w:outlineLvl w:val="1"/>
            </w:pPr>
            <w:r>
              <w:rPr>
                <w:rFonts w:ascii="仿宋_GB2312" w:hAnsi="仿宋_GB2312" w:cs="仿宋_GB2312" w:eastAsia="仿宋_GB2312"/>
                <w:sz w:val="20"/>
                <w:b/>
                <w:color w:val="0000FF"/>
              </w:rPr>
              <w:t>二、功能要求</w:t>
            </w:r>
          </w:p>
          <w:p>
            <w:pPr>
              <w:pStyle w:val="null3"/>
              <w:ind w:firstLine="400"/>
              <w:jc w:val="both"/>
            </w:pPr>
            <w:r>
              <w:rPr>
                <w:rFonts w:ascii="仿宋_GB2312" w:hAnsi="仿宋_GB2312" w:cs="仿宋_GB2312" w:eastAsia="仿宋_GB2312"/>
                <w:sz w:val="20"/>
                <w:color w:val="0000FF"/>
              </w:rPr>
              <w:t>（一）新增自动化监测范围</w:t>
            </w:r>
          </w:p>
          <w:p>
            <w:pPr>
              <w:pStyle w:val="null3"/>
              <w:ind w:firstLine="400"/>
              <w:jc w:val="both"/>
            </w:pPr>
            <w:r>
              <w:rPr>
                <w:rFonts w:ascii="仿宋_GB2312" w:hAnsi="仿宋_GB2312" w:cs="仿宋_GB2312" w:eastAsia="仿宋_GB2312"/>
                <w:sz w:val="20"/>
                <w:color w:val="0000FF"/>
              </w:rPr>
              <w:t>新增在线监测数据类型。（新增浊度、渗流量、滩顶高程、外坡比、排水井垂度、预警广播等设备类型。同时，优化系统监测设备与视频监控的命名规范）</w:t>
            </w:r>
          </w:p>
          <w:p>
            <w:pPr>
              <w:pStyle w:val="null3"/>
              <w:ind w:firstLine="400"/>
              <w:jc w:val="both"/>
            </w:pPr>
            <w:r>
              <w:rPr>
                <w:rFonts w:ascii="仿宋_GB2312" w:hAnsi="仿宋_GB2312" w:cs="仿宋_GB2312" w:eastAsia="仿宋_GB2312"/>
                <w:sz w:val="20"/>
                <w:color w:val="0000FF"/>
              </w:rPr>
              <w:t>新增应急广播系统建设。（通过接入企业端应急广播系统，构建全省尾矿库应急联动时效。实现在线安全监测预警广播联动及应急响应反馈功能，提升监管部门应急广播叫应能力）</w:t>
            </w:r>
          </w:p>
          <w:p>
            <w:pPr>
              <w:pStyle w:val="null3"/>
              <w:ind w:firstLine="400"/>
              <w:jc w:val="both"/>
            </w:pPr>
            <w:r>
              <w:rPr>
                <w:rFonts w:ascii="仿宋_GB2312" w:hAnsi="仿宋_GB2312" w:cs="仿宋_GB2312" w:eastAsia="仿宋_GB2312"/>
                <w:sz w:val="20"/>
                <w:color w:val="0000FF"/>
              </w:rPr>
              <w:t>新增各监测的阈值设定与审核功能。（阈值由企业进行设定，审核权限归属于省厅运维单位）</w:t>
            </w:r>
          </w:p>
          <w:p>
            <w:pPr>
              <w:pStyle w:val="null3"/>
              <w:ind w:firstLine="400"/>
              <w:jc w:val="both"/>
            </w:pPr>
            <w:r>
              <w:rPr>
                <w:rFonts w:ascii="仿宋_GB2312" w:hAnsi="仿宋_GB2312" w:cs="仿宋_GB2312" w:eastAsia="仿宋_GB2312"/>
                <w:sz w:val="20"/>
                <w:color w:val="0000FF"/>
              </w:rPr>
              <w:t>新增在线监测人工置数功能。（自动生成自动监测与人工监测数据的比对结果，并为企业端提供报表打印功能。针对差值过大的测项发出提醒）</w:t>
            </w:r>
          </w:p>
          <w:p>
            <w:pPr>
              <w:pStyle w:val="null3"/>
              <w:ind w:firstLine="400"/>
              <w:jc w:val="both"/>
            </w:pPr>
            <w:r>
              <w:rPr>
                <w:rFonts w:ascii="仿宋_GB2312" w:hAnsi="仿宋_GB2312" w:cs="仿宋_GB2312" w:eastAsia="仿宋_GB2312"/>
                <w:sz w:val="20"/>
                <w:color w:val="0000FF"/>
              </w:rPr>
              <w:t>（二）新增在线监测数据评测及优化预警模型</w:t>
            </w:r>
          </w:p>
          <w:p>
            <w:pPr>
              <w:pStyle w:val="null3"/>
              <w:ind w:firstLine="400"/>
              <w:jc w:val="both"/>
            </w:pPr>
            <w:r>
              <w:rPr>
                <w:rFonts w:ascii="仿宋_GB2312" w:hAnsi="仿宋_GB2312" w:cs="仿宋_GB2312" w:eastAsia="仿宋_GB2312"/>
                <w:sz w:val="20"/>
                <w:color w:val="0000FF"/>
              </w:rPr>
              <w:t>新增尾矿库在线安全监测数据的完整性、可靠性分析判定功能。自动生成企业端日、月、季、年度数据分析报告。优化各级安全生产报告。为尾矿库安全监测和行政执法提供可靠依据，同步提升全省尾矿库信息化监管能力和执法能力。</w:t>
            </w:r>
          </w:p>
          <w:p>
            <w:pPr>
              <w:pStyle w:val="null3"/>
              <w:ind w:firstLine="400"/>
              <w:jc w:val="both"/>
            </w:pPr>
            <w:r>
              <w:rPr>
                <w:rFonts w:ascii="仿宋_GB2312" w:hAnsi="仿宋_GB2312" w:cs="仿宋_GB2312" w:eastAsia="仿宋_GB2312"/>
                <w:sz w:val="20"/>
                <w:color w:val="0000FF"/>
              </w:rPr>
              <w:t>优化预警模型，借助预警模型自动匹配位移监测预警模型，并依据《尾矿库安全规程</w:t>
            </w:r>
            <w:r>
              <w:rPr>
                <w:rFonts w:ascii="仿宋_GB2312" w:hAnsi="仿宋_GB2312" w:cs="仿宋_GB2312" w:eastAsia="仿宋_GB2312"/>
                <w:sz w:val="20"/>
                <w:color w:val="0000FF"/>
              </w:rPr>
              <w:t>GB39496</w:t>
            </w:r>
            <w:r>
              <w:rPr>
                <w:rFonts w:ascii="仿宋_GB2312" w:hAnsi="仿宋_GB2312" w:cs="仿宋_GB2312" w:eastAsia="仿宋_GB2312"/>
                <w:sz w:val="20"/>
                <w:color w:val="0000FF"/>
              </w:rPr>
              <w:t>》中</w:t>
            </w:r>
            <w:r>
              <w:rPr>
                <w:rFonts w:ascii="仿宋_GB2312" w:hAnsi="仿宋_GB2312" w:cs="仿宋_GB2312" w:eastAsia="仿宋_GB2312"/>
                <w:sz w:val="20"/>
                <w:color w:val="0000FF"/>
              </w:rPr>
              <w:t>5.5.4</w:t>
            </w:r>
            <w:r>
              <w:rPr>
                <w:rFonts w:ascii="仿宋_GB2312" w:hAnsi="仿宋_GB2312" w:cs="仿宋_GB2312" w:eastAsia="仿宋_GB2312"/>
                <w:sz w:val="20"/>
                <w:color w:val="0000FF"/>
              </w:rPr>
              <w:t>章节修订预警触发逻辑，完善预警模型逻辑。</w:t>
            </w:r>
          </w:p>
          <w:p>
            <w:pPr>
              <w:pStyle w:val="null3"/>
              <w:ind w:firstLine="400"/>
              <w:jc w:val="both"/>
            </w:pPr>
            <w:r>
              <w:rPr>
                <w:rFonts w:ascii="仿宋_GB2312" w:hAnsi="仿宋_GB2312" w:cs="仿宋_GB2312" w:eastAsia="仿宋_GB2312"/>
                <w:sz w:val="20"/>
                <w:color w:val="0000FF"/>
              </w:rPr>
              <w:t>（三）新增合规化管理功能</w:t>
            </w:r>
          </w:p>
          <w:p>
            <w:pPr>
              <w:pStyle w:val="null3"/>
              <w:ind w:firstLine="400"/>
              <w:jc w:val="both"/>
            </w:pPr>
            <w:r>
              <w:rPr>
                <w:rFonts w:ascii="仿宋_GB2312" w:hAnsi="仿宋_GB2312" w:cs="仿宋_GB2312" w:eastAsia="仿宋_GB2312"/>
                <w:sz w:val="20"/>
                <w:color w:val="0000FF"/>
              </w:rPr>
              <w:t>新增安全许可证管理模块。（着重实现安全许可证证件的自动识别、证件管理以及临期提醒功能）</w:t>
            </w:r>
          </w:p>
          <w:p>
            <w:pPr>
              <w:pStyle w:val="null3"/>
              <w:ind w:firstLine="400"/>
              <w:jc w:val="both"/>
            </w:pPr>
            <w:r>
              <w:rPr>
                <w:rFonts w:ascii="仿宋_GB2312" w:hAnsi="仿宋_GB2312" w:cs="仿宋_GB2312" w:eastAsia="仿宋_GB2312"/>
                <w:sz w:val="20"/>
                <w:color w:val="0000FF"/>
              </w:rPr>
              <w:t>新增企业人员管理模块。（将持证人员划分为特种作业、专职安全管理人员、专职技术人员三个类别。为每个类别限定专业方向，并结合</w:t>
            </w:r>
            <w:r>
              <w:rPr>
                <w:rFonts w:ascii="仿宋_GB2312" w:hAnsi="仿宋_GB2312" w:cs="仿宋_GB2312" w:eastAsia="仿宋_GB2312"/>
                <w:sz w:val="20"/>
                <w:color w:val="0000FF"/>
              </w:rPr>
              <w:t>《安全生产法》</w:t>
            </w:r>
            <w:r>
              <w:rPr>
                <w:rFonts w:ascii="仿宋_GB2312" w:hAnsi="仿宋_GB2312" w:cs="仿宋_GB2312" w:eastAsia="仿宋_GB2312"/>
                <w:sz w:val="20"/>
                <w:color w:val="0000FF"/>
              </w:rPr>
              <w:t>规定的人员数量与专业要求，实现自适应评判。增设人员单一限定机制，人员发生变动时需进行审核解绑）</w:t>
            </w:r>
          </w:p>
          <w:p>
            <w:pPr>
              <w:pStyle w:val="null3"/>
              <w:ind w:firstLine="400"/>
              <w:jc w:val="both"/>
            </w:pPr>
            <w:r>
              <w:rPr>
                <w:rFonts w:ascii="仿宋_GB2312" w:hAnsi="仿宋_GB2312" w:cs="仿宋_GB2312" w:eastAsia="仿宋_GB2312"/>
                <w:sz w:val="20"/>
                <w:color w:val="0000FF"/>
              </w:rPr>
              <w:t>新增非煤矿山企业尾矿库</w:t>
            </w:r>
            <w:r>
              <w:rPr>
                <w:rFonts w:ascii="仿宋_GB2312" w:hAnsi="仿宋_GB2312" w:cs="仿宋_GB2312" w:eastAsia="仿宋_GB2312"/>
                <w:sz w:val="20"/>
                <w:color w:val="0000FF"/>
              </w:rPr>
              <w:t>“三同时”履行情况的相关文件电子化合规化管理。（重点落实调洪演算、稳定性分析、安全评价等阶段性文件的时效提醒）</w:t>
            </w:r>
          </w:p>
          <w:p>
            <w:pPr>
              <w:pStyle w:val="null3"/>
              <w:ind w:firstLine="400"/>
              <w:jc w:val="both"/>
            </w:pPr>
            <w:r>
              <w:rPr>
                <w:rFonts w:ascii="仿宋_GB2312" w:hAnsi="仿宋_GB2312" w:cs="仿宋_GB2312" w:eastAsia="仿宋_GB2312"/>
                <w:sz w:val="20"/>
                <w:color w:val="0000FF"/>
              </w:rPr>
              <w:t>新增线上巡查考核模块。依据各级监管部门及尾矿库企业对在线监测系统使用情况及线上问题处置情况进行综合统计及量化考核，丰富提醒功能，助力全省尾矿库监管效率提升。</w:t>
            </w:r>
          </w:p>
          <w:p>
            <w:pPr>
              <w:pStyle w:val="null3"/>
              <w:ind w:firstLine="400"/>
              <w:jc w:val="both"/>
            </w:pPr>
            <w:r>
              <w:rPr>
                <w:rFonts w:ascii="仿宋_GB2312" w:hAnsi="仿宋_GB2312" w:cs="仿宋_GB2312" w:eastAsia="仿宋_GB2312"/>
                <w:sz w:val="20"/>
                <w:color w:val="0000FF"/>
              </w:rPr>
              <w:t>（四）现有功能优化升级</w:t>
            </w:r>
          </w:p>
          <w:p>
            <w:pPr>
              <w:pStyle w:val="null3"/>
              <w:ind w:firstLine="400"/>
              <w:jc w:val="both"/>
            </w:pPr>
            <w:r>
              <w:rPr>
                <w:rFonts w:ascii="仿宋_GB2312" w:hAnsi="仿宋_GB2312" w:cs="仿宋_GB2312" w:eastAsia="仿宋_GB2312"/>
                <w:sz w:val="20"/>
                <w:color w:val="0000FF"/>
              </w:rPr>
              <w:t>新增气象数据地图区域展示，依托</w:t>
            </w:r>
            <w:r>
              <w:rPr>
                <w:rFonts w:ascii="仿宋_GB2312" w:hAnsi="仿宋_GB2312" w:cs="仿宋_GB2312" w:eastAsia="仿宋_GB2312"/>
                <w:sz w:val="20"/>
                <w:color w:val="0000FF"/>
              </w:rPr>
              <w:t>GIS</w:t>
            </w:r>
            <w:r>
              <w:rPr>
                <w:rFonts w:ascii="仿宋_GB2312" w:hAnsi="仿宋_GB2312" w:cs="仿宋_GB2312" w:eastAsia="仿宋_GB2312"/>
                <w:sz w:val="20"/>
                <w:color w:val="0000FF"/>
              </w:rPr>
              <w:t>地图，实时动态展示已对接的全省气象数据。同时对尾矿库重点风险区域及气象灾害进行主页面动态显示和提醒功能。</w:t>
            </w:r>
          </w:p>
          <w:p>
            <w:pPr>
              <w:pStyle w:val="null3"/>
              <w:ind w:firstLine="400"/>
              <w:jc w:val="both"/>
            </w:pPr>
            <w:r>
              <w:rPr>
                <w:rFonts w:ascii="仿宋_GB2312" w:hAnsi="仿宋_GB2312" w:cs="仿宋_GB2312" w:eastAsia="仿宋_GB2312"/>
                <w:sz w:val="20"/>
                <w:color w:val="0000FF"/>
              </w:rPr>
              <w:t>优化基础信息管理功能。（在基础信息填报环节，采用分类表单，尽量引导填写，针对重点项增设必要提示。增添统一的表格统计导出功能）</w:t>
            </w:r>
          </w:p>
          <w:p>
            <w:pPr>
              <w:pStyle w:val="null3"/>
              <w:jc w:val="both"/>
            </w:pPr>
            <w:r>
              <w:rPr>
                <w:rFonts w:ascii="仿宋_GB2312" w:hAnsi="仿宋_GB2312" w:cs="仿宋_GB2312" w:eastAsia="仿宋_GB2312"/>
                <w:sz w:val="20"/>
                <w:color w:val="0000FF"/>
              </w:rPr>
              <w:t>对系统展示功能予以优化。（涵盖调整首页区域与流域等的展示形式、进行数据统计分析以及业务应用功能的划分等内容）</w:t>
            </w:r>
            <w:r>
              <w:rPr>
                <w:rFonts w:ascii="仿宋_GB2312" w:hAnsi="仿宋_GB2312" w:cs="仿宋_GB2312" w:eastAsia="仿宋_GB2312"/>
                <w:sz w:val="20"/>
                <w:color w:val="0000FF"/>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color w:val="0000FF"/>
              </w:rPr>
              <w:t>三、技术要求</w:t>
            </w:r>
          </w:p>
          <w:p>
            <w:pPr>
              <w:pStyle w:val="null3"/>
              <w:ind w:firstLine="400"/>
              <w:jc w:val="both"/>
            </w:pPr>
            <w:r>
              <w:rPr>
                <w:rFonts w:ascii="仿宋_GB2312" w:hAnsi="仿宋_GB2312" w:cs="仿宋_GB2312" w:eastAsia="仿宋_GB2312"/>
                <w:sz w:val="20"/>
                <w:color w:val="0000FF"/>
              </w:rPr>
              <w:t>（一）性能要求</w:t>
            </w:r>
          </w:p>
          <w:p>
            <w:pPr>
              <w:pStyle w:val="null3"/>
              <w:ind w:firstLine="400"/>
              <w:jc w:val="both"/>
            </w:pPr>
            <w:r>
              <w:rPr>
                <w:rFonts w:ascii="仿宋_GB2312" w:hAnsi="仿宋_GB2312" w:cs="仿宋_GB2312" w:eastAsia="仿宋_GB2312"/>
                <w:sz w:val="20"/>
                <w:color w:val="0000FF"/>
              </w:rPr>
              <w:t>具有容错容灾和备份机制，每年平均故障时间要少于</w:t>
            </w:r>
            <w:r>
              <w:rPr>
                <w:rFonts w:ascii="仿宋_GB2312" w:hAnsi="仿宋_GB2312" w:cs="仿宋_GB2312" w:eastAsia="仿宋_GB2312"/>
                <w:sz w:val="20"/>
                <w:color w:val="0000FF"/>
              </w:rPr>
              <w:t>7</w:t>
            </w:r>
            <w:r>
              <w:rPr>
                <w:rFonts w:ascii="仿宋_GB2312" w:hAnsi="仿宋_GB2312" w:cs="仿宋_GB2312" w:eastAsia="仿宋_GB2312"/>
                <w:sz w:val="20"/>
                <w:color w:val="0000FF"/>
              </w:rPr>
              <w:t>小时，</w:t>
            </w:r>
            <w:r>
              <w:rPr>
                <w:rFonts w:ascii="仿宋_GB2312" w:hAnsi="仿宋_GB2312" w:cs="仿宋_GB2312" w:eastAsia="仿宋_GB2312"/>
                <w:sz w:val="20"/>
                <w:color w:val="0000FF"/>
              </w:rPr>
              <w:t>支持不少于</w:t>
            </w:r>
            <w:r>
              <w:rPr>
                <w:rFonts w:ascii="仿宋_GB2312" w:hAnsi="仿宋_GB2312" w:cs="仿宋_GB2312" w:eastAsia="仿宋_GB2312"/>
                <w:sz w:val="20"/>
                <w:color w:val="0000FF"/>
              </w:rPr>
              <w:t>500</w:t>
            </w:r>
            <w:r>
              <w:rPr>
                <w:rFonts w:ascii="仿宋_GB2312" w:hAnsi="仿宋_GB2312" w:cs="仿宋_GB2312" w:eastAsia="仿宋_GB2312"/>
                <w:sz w:val="20"/>
                <w:color w:val="0000FF"/>
              </w:rPr>
              <w:t>个用户的同时在线，初始加载渲染的响应时间不超过</w:t>
            </w:r>
            <w:r>
              <w:rPr>
                <w:rFonts w:ascii="仿宋_GB2312" w:hAnsi="仿宋_GB2312" w:cs="仿宋_GB2312" w:eastAsia="仿宋_GB2312"/>
                <w:sz w:val="20"/>
                <w:color w:val="0000FF"/>
              </w:rPr>
              <w:t>1</w:t>
            </w:r>
            <w:r>
              <w:rPr>
                <w:rFonts w:ascii="仿宋_GB2312" w:hAnsi="仿宋_GB2312" w:cs="仿宋_GB2312" w:eastAsia="仿宋_GB2312"/>
                <w:sz w:val="20"/>
                <w:color w:val="0000FF"/>
              </w:rPr>
              <w:t>秒，完成加载渲染的时间不超过</w:t>
            </w:r>
            <w:r>
              <w:rPr>
                <w:rFonts w:ascii="仿宋_GB2312" w:hAnsi="仿宋_GB2312" w:cs="仿宋_GB2312" w:eastAsia="仿宋_GB2312"/>
                <w:sz w:val="20"/>
                <w:color w:val="0000FF"/>
              </w:rPr>
              <w:t>3</w:t>
            </w:r>
            <w:r>
              <w:rPr>
                <w:rFonts w:ascii="仿宋_GB2312" w:hAnsi="仿宋_GB2312" w:cs="仿宋_GB2312" w:eastAsia="仿宋_GB2312"/>
                <w:sz w:val="20"/>
                <w:color w:val="0000FF"/>
              </w:rPr>
              <w:t>秒。</w:t>
            </w:r>
          </w:p>
          <w:p>
            <w:pPr>
              <w:pStyle w:val="null3"/>
              <w:ind w:firstLine="400"/>
              <w:jc w:val="both"/>
            </w:pPr>
            <w:r>
              <w:rPr>
                <w:rFonts w:ascii="仿宋_GB2312" w:hAnsi="仿宋_GB2312" w:cs="仿宋_GB2312" w:eastAsia="仿宋_GB2312"/>
                <w:sz w:val="20"/>
                <w:color w:val="0000FF"/>
              </w:rPr>
              <w:t>企业端至省级平台数据传输时延不大于</w:t>
            </w:r>
            <w:r>
              <w:rPr>
                <w:rFonts w:ascii="仿宋_GB2312" w:hAnsi="仿宋_GB2312" w:cs="仿宋_GB2312" w:eastAsia="仿宋_GB2312"/>
                <w:sz w:val="20"/>
                <w:color w:val="0000FF"/>
              </w:rPr>
              <w:t>30</w:t>
            </w:r>
            <w:r>
              <w:rPr>
                <w:rFonts w:ascii="仿宋_GB2312" w:hAnsi="仿宋_GB2312" w:cs="仿宋_GB2312" w:eastAsia="仿宋_GB2312"/>
                <w:sz w:val="20"/>
                <w:color w:val="0000FF"/>
              </w:rPr>
              <w:t>秒。</w:t>
            </w:r>
          </w:p>
          <w:p>
            <w:pPr>
              <w:pStyle w:val="null3"/>
              <w:ind w:firstLine="400"/>
              <w:jc w:val="both"/>
            </w:pPr>
            <w:r>
              <w:rPr>
                <w:rFonts w:ascii="仿宋_GB2312" w:hAnsi="仿宋_GB2312" w:cs="仿宋_GB2312" w:eastAsia="仿宋_GB2312"/>
                <w:sz w:val="20"/>
                <w:color w:val="0000FF"/>
              </w:rPr>
              <w:t>系统支持最大</w:t>
            </w:r>
            <w:r>
              <w:rPr>
                <w:rFonts w:ascii="仿宋_GB2312" w:hAnsi="仿宋_GB2312" w:cs="仿宋_GB2312" w:eastAsia="仿宋_GB2312"/>
                <w:sz w:val="20"/>
                <w:color w:val="0000FF"/>
              </w:rPr>
              <w:t>16</w:t>
            </w:r>
            <w:r>
              <w:rPr>
                <w:rFonts w:ascii="仿宋_GB2312" w:hAnsi="仿宋_GB2312" w:cs="仿宋_GB2312" w:eastAsia="仿宋_GB2312"/>
                <w:sz w:val="20"/>
                <w:color w:val="0000FF"/>
              </w:rPr>
              <w:t>路视频同时浏览功能。</w:t>
            </w:r>
          </w:p>
          <w:p>
            <w:pPr>
              <w:pStyle w:val="null3"/>
              <w:ind w:firstLine="400"/>
              <w:jc w:val="both"/>
            </w:pPr>
            <w:r>
              <w:rPr>
                <w:rFonts w:ascii="仿宋_GB2312" w:hAnsi="仿宋_GB2312" w:cs="仿宋_GB2312" w:eastAsia="仿宋_GB2312"/>
                <w:sz w:val="20"/>
                <w:color w:val="0000FF"/>
              </w:rPr>
              <w:t>（二）稳定性要求</w:t>
            </w:r>
          </w:p>
          <w:p>
            <w:pPr>
              <w:pStyle w:val="null3"/>
              <w:ind w:firstLine="400"/>
              <w:jc w:val="both"/>
            </w:pPr>
            <w:r>
              <w:rPr>
                <w:rFonts w:ascii="仿宋_GB2312" w:hAnsi="仿宋_GB2312" w:cs="仿宋_GB2312" w:eastAsia="仿宋_GB2312"/>
                <w:sz w:val="20"/>
                <w:color w:val="0000FF"/>
              </w:rPr>
              <w:t>系统软、硬件体系架构的设计应充分考虑安全性和可靠性，使系统能够连续、高效、不间断运行（</w:t>
            </w:r>
            <w:r>
              <w:rPr>
                <w:rFonts w:ascii="仿宋_GB2312" w:hAnsi="仿宋_GB2312" w:cs="仿宋_GB2312" w:eastAsia="仿宋_GB2312"/>
                <w:sz w:val="20"/>
                <w:color w:val="0000FF"/>
              </w:rPr>
              <w:t>7*24</w:t>
            </w:r>
            <w:r>
              <w:rPr>
                <w:rFonts w:ascii="仿宋_GB2312" w:hAnsi="仿宋_GB2312" w:cs="仿宋_GB2312" w:eastAsia="仿宋_GB2312"/>
                <w:sz w:val="20"/>
                <w:color w:val="0000FF"/>
              </w:rPr>
              <w:t>小时），保证用户随时进行访问。</w:t>
            </w:r>
          </w:p>
          <w:p>
            <w:pPr>
              <w:pStyle w:val="null3"/>
              <w:ind w:firstLine="400"/>
              <w:jc w:val="both"/>
            </w:pPr>
            <w:r>
              <w:rPr>
                <w:rFonts w:ascii="仿宋_GB2312" w:hAnsi="仿宋_GB2312" w:cs="仿宋_GB2312" w:eastAsia="仿宋_GB2312"/>
                <w:sz w:val="20"/>
                <w:color w:val="0000FF"/>
              </w:rPr>
              <w:t>应制定明确的应急恢复策略，并具备基于此策略的高可用性解决方案。对于一般故障，应保证出现故障后十五分钟内恢复系统正常运行。应制定数据库备份策略，有详细的数据备份计划，保证数据不会丢失或损坏。</w:t>
            </w:r>
          </w:p>
          <w:p>
            <w:pPr>
              <w:pStyle w:val="null3"/>
              <w:ind w:firstLine="400"/>
              <w:jc w:val="both"/>
            </w:pPr>
            <w:r>
              <w:rPr>
                <w:rFonts w:ascii="仿宋_GB2312" w:hAnsi="仿宋_GB2312" w:cs="仿宋_GB2312" w:eastAsia="仿宋_GB2312"/>
                <w:sz w:val="20"/>
                <w:color w:val="0000FF"/>
              </w:rPr>
              <w:t>（三）安全要求</w:t>
            </w:r>
          </w:p>
          <w:p>
            <w:pPr>
              <w:pStyle w:val="null3"/>
              <w:ind w:firstLine="400"/>
              <w:jc w:val="both"/>
            </w:pPr>
            <w:r>
              <w:rPr>
                <w:rFonts w:ascii="仿宋_GB2312" w:hAnsi="仿宋_GB2312" w:cs="仿宋_GB2312" w:eastAsia="仿宋_GB2312"/>
                <w:sz w:val="20"/>
                <w:color w:val="0000FF"/>
              </w:rPr>
              <w:t>系统部署在陕西省政务云平台，部署实施工作由项目实施单位承担，陕</w:t>
            </w:r>
            <w:r>
              <w:rPr>
                <w:rFonts w:ascii="仿宋_GB2312" w:hAnsi="仿宋_GB2312" w:cs="仿宋_GB2312" w:eastAsia="仿宋_GB2312"/>
                <w:sz w:val="20"/>
                <w:color w:val="0000FF"/>
              </w:rPr>
              <w:t>西省应急管理厅负责协调资源申请等相关工作。</w:t>
            </w:r>
          </w:p>
          <w:p>
            <w:pPr>
              <w:pStyle w:val="null3"/>
              <w:ind w:firstLine="400"/>
              <w:jc w:val="both"/>
            </w:pPr>
            <w:r>
              <w:rPr>
                <w:rFonts w:ascii="仿宋_GB2312" w:hAnsi="仿宋_GB2312" w:cs="仿宋_GB2312" w:eastAsia="仿宋_GB2312"/>
                <w:sz w:val="20"/>
                <w:color w:val="0000FF"/>
              </w:rPr>
              <w:t>（四）信创合规要求</w:t>
            </w:r>
          </w:p>
          <w:p>
            <w:pPr>
              <w:pStyle w:val="null3"/>
              <w:ind w:firstLine="400"/>
              <w:jc w:val="both"/>
            </w:pPr>
            <w:r>
              <w:rPr>
                <w:rFonts w:ascii="仿宋_GB2312" w:hAnsi="仿宋_GB2312" w:cs="仿宋_GB2312" w:eastAsia="仿宋_GB2312"/>
                <w:sz w:val="20"/>
                <w:color w:val="0000FF"/>
              </w:rPr>
              <w:t>严格遵循国家信创战略要求，全面采用国产化技术路线，核心软硬件（含服务器、操作系统、数据库、中间件等）须纳入国家信创产品目录，通过适配测试及商用密码应用安全性评估，确保全栈自主可控、安全合规</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五</w:t>
            </w:r>
            <w:r>
              <w:rPr>
                <w:rFonts w:ascii="仿宋_GB2312" w:hAnsi="仿宋_GB2312" w:cs="仿宋_GB2312" w:eastAsia="仿宋_GB2312"/>
                <w:sz w:val="20"/>
                <w:color w:val="0000FF"/>
              </w:rPr>
              <w:t>）技术资料</w:t>
            </w:r>
          </w:p>
          <w:p>
            <w:pPr>
              <w:pStyle w:val="null3"/>
              <w:jc w:val="both"/>
            </w:pPr>
            <w:r>
              <w:rPr>
                <w:rFonts w:ascii="仿宋_GB2312" w:hAnsi="仿宋_GB2312" w:cs="仿宋_GB2312" w:eastAsia="仿宋_GB2312"/>
                <w:sz w:val="20"/>
                <w:color w:val="0000FF"/>
              </w:rPr>
              <w:t>版权归采购方所有。所有源码（未加密，可运行）及相关资料（包括但不限于需求、设计、部署、测试、联调、培训、运维等）按采购方要求执行，项目验收时需提交所有的源码及项目过程中产生的所有文档、资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color w:val="0000FF"/>
              </w:rPr>
              <w:t>四、其他要求</w:t>
            </w:r>
          </w:p>
          <w:p>
            <w:pPr>
              <w:pStyle w:val="null3"/>
              <w:jc w:val="both"/>
            </w:pPr>
            <w:r>
              <w:rPr>
                <w:rFonts w:ascii="仿宋_GB2312" w:hAnsi="仿宋_GB2312" w:cs="仿宋_GB2312" w:eastAsia="仿宋_GB2312"/>
                <w:sz w:val="20"/>
                <w:color w:val="0000FF"/>
              </w:rPr>
              <w:t>1.</w:t>
            </w:r>
            <w:r>
              <w:rPr>
                <w:rFonts w:ascii="仿宋_GB2312" w:hAnsi="仿宋_GB2312" w:cs="仿宋_GB2312" w:eastAsia="仿宋_GB2312"/>
                <w:sz w:val="20"/>
                <w:color w:val="0000FF"/>
              </w:rPr>
              <w:t>质保期：验收合格后</w:t>
            </w:r>
            <w:r>
              <w:rPr>
                <w:rFonts w:ascii="仿宋_GB2312" w:hAnsi="仿宋_GB2312" w:cs="仿宋_GB2312" w:eastAsia="仿宋_GB2312"/>
                <w:sz w:val="20"/>
                <w:color w:val="0000FF"/>
              </w:rPr>
              <w:t>5</w:t>
            </w:r>
            <w:r>
              <w:rPr>
                <w:rFonts w:ascii="仿宋_GB2312" w:hAnsi="仿宋_GB2312" w:cs="仿宋_GB2312" w:eastAsia="仿宋_GB2312"/>
                <w:sz w:val="20"/>
                <w:color w:val="0000FF"/>
              </w:rPr>
              <w:t>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标的名称：非煤矿山安全生产风险监测预警系统升级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一、项目概况</w:t>
            </w:r>
          </w:p>
          <w:p>
            <w:pPr>
              <w:pStyle w:val="null3"/>
              <w:ind w:firstLine="400"/>
              <w:jc w:val="both"/>
            </w:pPr>
            <w:r>
              <w:rPr>
                <w:rFonts w:ascii="仿宋_GB2312" w:hAnsi="仿宋_GB2312" w:cs="仿宋_GB2312" w:eastAsia="仿宋_GB2312"/>
                <w:sz w:val="20"/>
                <w:color w:val="0000FF"/>
              </w:rPr>
              <w:t>陕西省非煤矿山安全生产风险监测预警系统</w:t>
            </w:r>
            <w:r>
              <w:rPr>
                <w:rFonts w:ascii="仿宋_GB2312" w:hAnsi="仿宋_GB2312" w:cs="仿宋_GB2312" w:eastAsia="仿宋_GB2312"/>
                <w:sz w:val="20"/>
                <w:color w:val="0000FF"/>
              </w:rPr>
              <w:t>（二期）</w:t>
            </w:r>
            <w:r>
              <w:rPr>
                <w:rFonts w:ascii="仿宋_GB2312" w:hAnsi="仿宋_GB2312" w:cs="仿宋_GB2312" w:eastAsia="仿宋_GB2312"/>
                <w:sz w:val="20"/>
                <w:color w:val="0000FF"/>
              </w:rPr>
              <w:t>分为政府端、企业端、移动端</w:t>
            </w:r>
            <w:r>
              <w:rPr>
                <w:rFonts w:ascii="仿宋_GB2312" w:hAnsi="仿宋_GB2312" w:cs="仿宋_GB2312" w:eastAsia="仿宋_GB2312"/>
                <w:sz w:val="20"/>
                <w:color w:val="0000FF"/>
              </w:rPr>
              <w:t>APP</w:t>
            </w:r>
            <w:r>
              <w:rPr>
                <w:rFonts w:ascii="仿宋_GB2312" w:hAnsi="仿宋_GB2312" w:cs="仿宋_GB2312" w:eastAsia="仿宋_GB2312"/>
                <w:sz w:val="20"/>
                <w:color w:val="0000FF"/>
              </w:rPr>
              <w:t>三类业务使用端口。省厅统一部署物联网关，汇聚接入矿山气体浓度、边坡位移、地压变形、人员位置等实时监测数据及重点区域视频监控画面，数据经标准化清洗治理后纳入非煤矿山数据仓库，整合存储矿山基础信息、实时监测、视频监控、人员定位、隐患台账、证照资质及外部专题数据。</w:t>
            </w:r>
          </w:p>
          <w:p>
            <w:pPr>
              <w:pStyle w:val="null3"/>
              <w:ind w:firstLine="400"/>
              <w:jc w:val="both"/>
            </w:pPr>
            <w:r>
              <w:rPr>
                <w:rFonts w:ascii="仿宋_GB2312" w:hAnsi="仿宋_GB2312" w:cs="仿宋_GB2312" w:eastAsia="仿宋_GB2312"/>
                <w:sz w:val="20"/>
                <w:color w:val="0000FF"/>
              </w:rPr>
              <w:t>政府端构建综合展示、风险预警、日常巡检、隐患管理、证照管理、数据查询、考核评估、视频监察、资讯通知、系统管理等功能模块，依托全域一张图总览全省矿山安全态势，实现矿山联网在线监测、多维数据精准检索执法、远程可视化监察与分级权限管控。</w:t>
            </w:r>
          </w:p>
          <w:p>
            <w:pPr>
              <w:pStyle w:val="null3"/>
              <w:ind w:firstLine="400"/>
              <w:jc w:val="both"/>
            </w:pPr>
            <w:r>
              <w:rPr>
                <w:rFonts w:ascii="仿宋_GB2312" w:hAnsi="仿宋_GB2312" w:cs="仿宋_GB2312" w:eastAsia="仿宋_GB2312"/>
                <w:sz w:val="20"/>
                <w:color w:val="0000FF"/>
              </w:rPr>
              <w:t>企业端配置综合看板、矿山概览、监测设备管控、隐患整改、报备管理、风险预警、任务工作台模块，集中归集企业安全生产核心指标与全量档案资料，形成设备监测、隐患治理、预警处置全流程闭环管理。</w:t>
            </w:r>
          </w:p>
          <w:p>
            <w:pPr>
              <w:pStyle w:val="null3"/>
              <w:ind w:firstLine="400"/>
              <w:jc w:val="both"/>
            </w:pPr>
            <w:r>
              <w:rPr>
                <w:rFonts w:ascii="仿宋_GB2312" w:hAnsi="仿宋_GB2312" w:cs="仿宋_GB2312" w:eastAsia="仿宋_GB2312"/>
                <w:sz w:val="20"/>
                <w:color w:val="0000FF"/>
              </w:rPr>
              <w:t>移动端与</w:t>
            </w:r>
            <w:r>
              <w:rPr>
                <w:rFonts w:ascii="仿宋_GB2312" w:hAnsi="仿宋_GB2312" w:cs="仿宋_GB2312" w:eastAsia="仿宋_GB2312"/>
                <w:sz w:val="20"/>
                <w:color w:val="0000FF"/>
              </w:rPr>
              <w:t>PC</w:t>
            </w:r>
            <w:r>
              <w:rPr>
                <w:rFonts w:ascii="仿宋_GB2312" w:hAnsi="仿宋_GB2312" w:cs="仿宋_GB2312" w:eastAsia="仿宋_GB2312"/>
                <w:sz w:val="20"/>
                <w:color w:val="0000FF"/>
              </w:rPr>
              <w:t>端数据实时同步，覆盖矿山信息查询、风险预警处置、隐患现场核查、报备事项审核等场景，支撑一线现场即时协同作业。</w:t>
            </w:r>
          </w:p>
          <w:p>
            <w:pPr>
              <w:pStyle w:val="null3"/>
              <w:ind w:firstLine="400"/>
              <w:jc w:val="both"/>
            </w:pPr>
            <w:r>
              <w:rPr>
                <w:rFonts w:ascii="仿宋_GB2312" w:hAnsi="仿宋_GB2312" w:cs="仿宋_GB2312" w:eastAsia="仿宋_GB2312"/>
                <w:sz w:val="20"/>
                <w:color w:val="0000FF"/>
              </w:rPr>
              <w:t>系统面向省、市、县三级监管部门及非煤矿山企业，提供数据查阅、风险预警处置、线上协同监管一体化服务，并按照国家统一数据交换规范向上对接国家矿山安全监察局综合应用平台，实现部省纵向数据互通共享。</w:t>
            </w:r>
          </w:p>
          <w:p>
            <w:pPr>
              <w:pStyle w:val="null3"/>
              <w:ind w:firstLine="400"/>
              <w:jc w:val="both"/>
            </w:pPr>
            <w:r>
              <w:rPr>
                <w:rFonts w:ascii="仿宋_GB2312" w:hAnsi="仿宋_GB2312" w:cs="仿宋_GB2312" w:eastAsia="仿宋_GB2312"/>
                <w:sz w:val="20"/>
                <w:color w:val="0000FF"/>
              </w:rPr>
              <w:t>现有系统</w:t>
            </w:r>
            <w:r>
              <w:rPr>
                <w:rFonts w:ascii="仿宋_GB2312" w:hAnsi="仿宋_GB2312" w:cs="仿宋_GB2312" w:eastAsia="仿宋_GB2312"/>
                <w:sz w:val="20"/>
                <w:color w:val="0000FF"/>
              </w:rPr>
              <w:t>运行</w:t>
            </w:r>
            <w:r>
              <w:rPr>
                <w:rFonts w:ascii="仿宋_GB2312" w:hAnsi="仿宋_GB2312" w:cs="仿宋_GB2312" w:eastAsia="仿宋_GB2312"/>
                <w:sz w:val="20"/>
                <w:color w:val="0000FF"/>
              </w:rPr>
              <w:t>环境</w:t>
            </w:r>
            <w:r>
              <w:rPr>
                <w:rFonts w:ascii="仿宋_GB2312" w:hAnsi="仿宋_GB2312" w:cs="仿宋_GB2312" w:eastAsia="仿宋_GB2312"/>
                <w:sz w:val="20"/>
                <w:color w:val="0000FF"/>
              </w:rPr>
              <w:t>：银河</w:t>
            </w:r>
            <w:r>
              <w:rPr>
                <w:rFonts w:ascii="仿宋_GB2312" w:hAnsi="仿宋_GB2312" w:cs="仿宋_GB2312" w:eastAsia="仿宋_GB2312"/>
                <w:sz w:val="20"/>
                <w:color w:val="0000FF"/>
              </w:rPr>
              <w:t>麒麟</w:t>
            </w:r>
            <w:r>
              <w:rPr>
                <w:rFonts w:ascii="仿宋_GB2312" w:hAnsi="仿宋_GB2312" w:cs="仿宋_GB2312" w:eastAsia="仿宋_GB2312"/>
                <w:sz w:val="20"/>
                <w:color w:val="0000FF"/>
              </w:rPr>
              <w:t>V10</w:t>
            </w:r>
            <w:r>
              <w:rPr>
                <w:rFonts w:ascii="仿宋_GB2312" w:hAnsi="仿宋_GB2312" w:cs="仿宋_GB2312" w:eastAsia="仿宋_GB2312"/>
                <w:sz w:val="20"/>
                <w:color w:val="0000FF"/>
              </w:rPr>
              <w:t>；</w:t>
            </w:r>
            <w:r>
              <w:rPr>
                <w:rFonts w:ascii="仿宋_GB2312" w:hAnsi="仿宋_GB2312" w:cs="仿宋_GB2312" w:eastAsia="仿宋_GB2312"/>
                <w:sz w:val="20"/>
                <w:color w:val="0000FF"/>
              </w:rPr>
              <w:t>数据库类型：</w:t>
            </w:r>
            <w:r>
              <w:rPr>
                <w:rFonts w:ascii="仿宋_GB2312" w:hAnsi="仿宋_GB2312" w:cs="仿宋_GB2312" w:eastAsia="仿宋_GB2312"/>
                <w:sz w:val="20"/>
                <w:color w:val="0000FF"/>
              </w:rPr>
              <w:t>Apache Doris</w:t>
            </w:r>
            <w:r>
              <w:rPr>
                <w:rFonts w:ascii="仿宋_GB2312" w:hAnsi="仿宋_GB2312" w:cs="仿宋_GB2312" w:eastAsia="仿宋_GB2312"/>
                <w:sz w:val="20"/>
                <w:color w:val="0000FF"/>
              </w:rPr>
              <w:t>、达梦数据库</w:t>
            </w:r>
            <w:r>
              <w:rPr>
                <w:rFonts w:ascii="仿宋_GB2312" w:hAnsi="仿宋_GB2312" w:cs="仿宋_GB2312" w:eastAsia="仿宋_GB2312"/>
                <w:sz w:val="20"/>
                <w:color w:val="0000FF"/>
              </w:rPr>
              <w:t>v8</w:t>
            </w:r>
            <w:r>
              <w:rPr>
                <w:rFonts w:ascii="仿宋_GB2312" w:hAnsi="仿宋_GB2312" w:cs="仿宋_GB2312" w:eastAsia="仿宋_GB2312"/>
                <w:sz w:val="20"/>
                <w:color w:val="0000FF"/>
              </w:rPr>
              <w:t>、海量数据库</w:t>
            </w:r>
            <w:r>
              <w:rPr>
                <w:rFonts w:ascii="仿宋_GB2312" w:hAnsi="仿宋_GB2312" w:cs="仿宋_GB2312" w:eastAsia="仿宋_GB2312"/>
                <w:sz w:val="20"/>
                <w:color w:val="0000FF"/>
              </w:rPr>
              <w:t>Vastbase G100</w:t>
            </w:r>
            <w:r>
              <w:rPr>
                <w:rFonts w:ascii="仿宋_GB2312" w:hAnsi="仿宋_GB2312" w:cs="仿宋_GB2312" w:eastAsia="仿宋_GB2312"/>
                <w:sz w:val="20"/>
                <w:color w:val="0000FF"/>
              </w:rPr>
              <w:t>；</w:t>
            </w:r>
            <w:r>
              <w:rPr>
                <w:rFonts w:ascii="仿宋_GB2312" w:hAnsi="仿宋_GB2312" w:cs="仿宋_GB2312" w:eastAsia="仿宋_GB2312"/>
                <w:sz w:val="20"/>
                <w:color w:val="0000FF"/>
              </w:rPr>
              <w:t>开发环境：</w:t>
            </w:r>
            <w:r>
              <w:rPr>
                <w:rFonts w:ascii="仿宋_GB2312" w:hAnsi="仿宋_GB2312" w:cs="仿宋_GB2312" w:eastAsia="仿宋_GB2312"/>
                <w:sz w:val="20"/>
                <w:color w:val="0000FF"/>
              </w:rPr>
              <w:t>SpringBoot</w:t>
            </w:r>
            <w:r>
              <w:rPr>
                <w:rFonts w:ascii="仿宋_GB2312" w:hAnsi="仿宋_GB2312" w:cs="仿宋_GB2312" w:eastAsia="仿宋_GB2312"/>
                <w:sz w:val="20"/>
                <w:color w:val="0000FF"/>
              </w:rPr>
              <w:t>、</w:t>
            </w:r>
            <w:r>
              <w:rPr>
                <w:rFonts w:ascii="仿宋_GB2312" w:hAnsi="仿宋_GB2312" w:cs="仿宋_GB2312" w:eastAsia="仿宋_GB2312"/>
                <w:sz w:val="20"/>
                <w:color w:val="0000FF"/>
              </w:rPr>
              <w:t>Vue</w:t>
            </w:r>
            <w:r>
              <w:rPr>
                <w:rFonts w:ascii="仿宋_GB2312" w:hAnsi="仿宋_GB2312" w:cs="仿宋_GB2312" w:eastAsia="仿宋_GB2312"/>
                <w:sz w:val="20"/>
                <w:color w:val="0000FF"/>
              </w:rPr>
              <w:t>前后端分离架构。</w:t>
            </w:r>
          </w:p>
          <w:p>
            <w:pPr>
              <w:pStyle w:val="null3"/>
              <w:jc w:val="both"/>
            </w:pPr>
            <w:r>
              <w:rPr>
                <w:rFonts w:ascii="仿宋_GB2312" w:hAnsi="仿宋_GB2312" w:cs="仿宋_GB2312" w:eastAsia="仿宋_GB2312"/>
                <w:sz w:val="20"/>
                <w:color w:val="0000FF"/>
              </w:rPr>
              <w:t>本项目</w:t>
            </w:r>
            <w:r>
              <w:rPr>
                <w:rFonts w:ascii="仿宋_GB2312" w:hAnsi="仿宋_GB2312" w:cs="仿宋_GB2312" w:eastAsia="仿宋_GB2312"/>
                <w:sz w:val="20"/>
                <w:color w:val="0000FF"/>
              </w:rPr>
              <w:t>对陕西省非煤矿山安全生产风险监测预警系统</w:t>
            </w:r>
            <w:r>
              <w:rPr>
                <w:rFonts w:ascii="仿宋_GB2312" w:hAnsi="仿宋_GB2312" w:cs="仿宋_GB2312" w:eastAsia="仿宋_GB2312"/>
                <w:sz w:val="20"/>
                <w:color w:val="0000FF"/>
              </w:rPr>
              <w:t>（二期）</w:t>
            </w:r>
            <w:r>
              <w:rPr>
                <w:rFonts w:ascii="仿宋_GB2312" w:hAnsi="仿宋_GB2312" w:cs="仿宋_GB2312" w:eastAsia="仿宋_GB2312"/>
                <w:sz w:val="20"/>
                <w:color w:val="0000FF"/>
              </w:rPr>
              <w:t>进行功能提升，扩大监测预警范围、提升风险评估能力、优化事件协同处置能力、增加地下矿山井下人员精准定位数据对接及全省地下矿山生产作业人员监管等模块。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color w:val="0000FF"/>
              </w:rPr>
              <w:t>二、功能要求</w:t>
            </w:r>
          </w:p>
          <w:p>
            <w:pPr>
              <w:pStyle w:val="null3"/>
              <w:ind w:firstLine="400"/>
              <w:jc w:val="both"/>
            </w:pPr>
            <w:r>
              <w:rPr>
                <w:rFonts w:ascii="仿宋_GB2312" w:hAnsi="仿宋_GB2312" w:cs="仿宋_GB2312" w:eastAsia="仿宋_GB2312"/>
                <w:sz w:val="20"/>
                <w:color w:val="0000FF"/>
              </w:rPr>
              <w:t>（一）物联网关适配改造及数据接入</w:t>
            </w:r>
          </w:p>
          <w:p>
            <w:pPr>
              <w:pStyle w:val="null3"/>
              <w:ind w:firstLine="400"/>
              <w:jc w:val="both"/>
            </w:pPr>
            <w:r>
              <w:rPr>
                <w:rFonts w:ascii="仿宋_GB2312" w:hAnsi="仿宋_GB2312" w:cs="仿宋_GB2312" w:eastAsia="仿宋_GB2312"/>
                <w:sz w:val="20"/>
                <w:color w:val="0000FF"/>
              </w:rPr>
              <w:t>对</w:t>
            </w:r>
            <w:r>
              <w:rPr>
                <w:rFonts w:ascii="仿宋_GB2312" w:hAnsi="仿宋_GB2312" w:cs="仿宋_GB2312" w:eastAsia="仿宋_GB2312"/>
                <w:sz w:val="20"/>
                <w:color w:val="0000FF"/>
              </w:rPr>
              <w:t>130</w:t>
            </w:r>
            <w:r>
              <w:rPr>
                <w:rFonts w:ascii="仿宋_GB2312" w:hAnsi="仿宋_GB2312" w:cs="仿宋_GB2312" w:eastAsia="仿宋_GB2312"/>
                <w:sz w:val="20"/>
                <w:color w:val="0000FF"/>
              </w:rPr>
              <w:t>套物联网关进行适配改造，全面适配国家矿山安全监察局综合司《金属非金属地下矿山感知数据接入规范（试行）》《金属非金属露天矿山感知数据接入规范（试行）》等规范要求，以实现全省重点非煤矿山视频监控、监测数据和井下人员定位数据、告警数据与省厅平台规范接入。</w:t>
            </w:r>
          </w:p>
          <w:p>
            <w:pPr>
              <w:pStyle w:val="null3"/>
              <w:ind w:firstLine="400"/>
              <w:jc w:val="both"/>
            </w:pPr>
            <w:r>
              <w:rPr>
                <w:rFonts w:ascii="仿宋_GB2312" w:hAnsi="仿宋_GB2312" w:cs="仿宋_GB2312" w:eastAsia="仿宋_GB2312"/>
                <w:sz w:val="20"/>
                <w:color w:val="0000FF"/>
              </w:rPr>
              <w:t>同步完成</w:t>
            </w:r>
            <w:r>
              <w:rPr>
                <w:rFonts w:ascii="仿宋_GB2312" w:hAnsi="仿宋_GB2312" w:cs="仿宋_GB2312" w:eastAsia="仿宋_GB2312"/>
                <w:sz w:val="20"/>
                <w:color w:val="0000FF"/>
              </w:rPr>
              <w:t>130</w:t>
            </w:r>
            <w:r>
              <w:rPr>
                <w:rFonts w:ascii="仿宋_GB2312" w:hAnsi="仿宋_GB2312" w:cs="仿宋_GB2312" w:eastAsia="仿宋_GB2312"/>
                <w:sz w:val="20"/>
                <w:color w:val="0000FF"/>
              </w:rPr>
              <w:t>座矿山基础信息和设备信息维护。</w:t>
            </w:r>
          </w:p>
          <w:p>
            <w:pPr>
              <w:pStyle w:val="null3"/>
              <w:ind w:firstLine="400"/>
              <w:jc w:val="both"/>
            </w:pPr>
            <w:r>
              <w:rPr>
                <w:rFonts w:ascii="仿宋_GB2312" w:hAnsi="仿宋_GB2312" w:cs="仿宋_GB2312" w:eastAsia="仿宋_GB2312"/>
                <w:sz w:val="20"/>
                <w:color w:val="0000FF"/>
              </w:rPr>
              <w:t>按照国家现行规范标准，重新接入</w:t>
            </w:r>
            <w:r>
              <w:rPr>
                <w:rFonts w:ascii="仿宋_GB2312" w:hAnsi="仿宋_GB2312" w:cs="仿宋_GB2312" w:eastAsia="仿宋_GB2312"/>
                <w:sz w:val="20"/>
                <w:color w:val="0000FF"/>
              </w:rPr>
              <w:t>130</w:t>
            </w:r>
            <w:r>
              <w:rPr>
                <w:rFonts w:ascii="仿宋_GB2312" w:hAnsi="仿宋_GB2312" w:cs="仿宋_GB2312" w:eastAsia="仿宋_GB2312"/>
                <w:sz w:val="20"/>
                <w:color w:val="0000FF"/>
              </w:rPr>
              <w:t>座非煤矿山基础信息、监测、监控、人员定位等重点数据。</w:t>
            </w:r>
          </w:p>
          <w:p>
            <w:pPr>
              <w:pStyle w:val="null3"/>
              <w:ind w:firstLine="400"/>
              <w:jc w:val="both"/>
            </w:pPr>
            <w:r>
              <w:rPr>
                <w:rFonts w:ascii="仿宋_GB2312" w:hAnsi="仿宋_GB2312" w:cs="仿宋_GB2312" w:eastAsia="仿宋_GB2312"/>
                <w:sz w:val="20"/>
                <w:color w:val="0000FF"/>
              </w:rPr>
              <w:t>130</w:t>
            </w:r>
            <w:r>
              <w:rPr>
                <w:rFonts w:ascii="仿宋_GB2312" w:hAnsi="仿宋_GB2312" w:cs="仿宋_GB2312" w:eastAsia="仿宋_GB2312"/>
                <w:sz w:val="20"/>
                <w:color w:val="0000FF"/>
              </w:rPr>
              <w:t>个物联网关分布</w:t>
            </w:r>
            <w:r>
              <w:rPr>
                <w:rFonts w:ascii="仿宋_GB2312" w:hAnsi="仿宋_GB2312" w:cs="仿宋_GB2312" w:eastAsia="仿宋_GB2312"/>
                <w:sz w:val="20"/>
                <w:color w:val="0000FF"/>
              </w:rPr>
              <w:t>：</w:t>
            </w:r>
            <w:r>
              <w:rPr>
                <w:rFonts w:ascii="仿宋_GB2312" w:hAnsi="仿宋_GB2312" w:cs="仿宋_GB2312" w:eastAsia="仿宋_GB2312"/>
                <w:sz w:val="20"/>
                <w:color w:val="0000FF"/>
              </w:rPr>
              <w:t>安康市</w:t>
            </w:r>
            <w:r>
              <w:rPr>
                <w:rFonts w:ascii="仿宋_GB2312" w:hAnsi="仿宋_GB2312" w:cs="仿宋_GB2312" w:eastAsia="仿宋_GB2312"/>
                <w:sz w:val="20"/>
                <w:color w:val="0000FF"/>
              </w:rPr>
              <w:t>25</w:t>
            </w:r>
            <w:r>
              <w:rPr>
                <w:rFonts w:ascii="仿宋_GB2312" w:hAnsi="仿宋_GB2312" w:cs="仿宋_GB2312" w:eastAsia="仿宋_GB2312"/>
                <w:sz w:val="20"/>
                <w:color w:val="0000FF"/>
              </w:rPr>
              <w:t>个、宝鸡市</w:t>
            </w:r>
            <w:r>
              <w:rPr>
                <w:rFonts w:ascii="仿宋_GB2312" w:hAnsi="仿宋_GB2312" w:cs="仿宋_GB2312" w:eastAsia="仿宋_GB2312"/>
                <w:sz w:val="20"/>
                <w:color w:val="0000FF"/>
              </w:rPr>
              <w:t>24</w:t>
            </w:r>
            <w:r>
              <w:rPr>
                <w:rFonts w:ascii="仿宋_GB2312" w:hAnsi="仿宋_GB2312" w:cs="仿宋_GB2312" w:eastAsia="仿宋_GB2312"/>
                <w:sz w:val="20"/>
                <w:color w:val="0000FF"/>
              </w:rPr>
              <w:t>个、汉中市</w:t>
            </w:r>
            <w:r>
              <w:rPr>
                <w:rFonts w:ascii="仿宋_GB2312" w:hAnsi="仿宋_GB2312" w:cs="仿宋_GB2312" w:eastAsia="仿宋_GB2312"/>
                <w:sz w:val="20"/>
                <w:color w:val="0000FF"/>
              </w:rPr>
              <w:t>20</w:t>
            </w:r>
            <w:r>
              <w:rPr>
                <w:rFonts w:ascii="仿宋_GB2312" w:hAnsi="仿宋_GB2312" w:cs="仿宋_GB2312" w:eastAsia="仿宋_GB2312"/>
                <w:sz w:val="20"/>
                <w:color w:val="0000FF"/>
              </w:rPr>
              <w:t>个、商洛市</w:t>
            </w:r>
            <w:r>
              <w:rPr>
                <w:rFonts w:ascii="仿宋_GB2312" w:hAnsi="仿宋_GB2312" w:cs="仿宋_GB2312" w:eastAsia="仿宋_GB2312"/>
                <w:sz w:val="20"/>
                <w:color w:val="0000FF"/>
              </w:rPr>
              <w:t>33</w:t>
            </w:r>
            <w:r>
              <w:rPr>
                <w:rFonts w:ascii="仿宋_GB2312" w:hAnsi="仿宋_GB2312" w:cs="仿宋_GB2312" w:eastAsia="仿宋_GB2312"/>
                <w:sz w:val="20"/>
                <w:color w:val="0000FF"/>
              </w:rPr>
              <w:t>个、铜川市</w:t>
            </w:r>
            <w:r>
              <w:rPr>
                <w:rFonts w:ascii="仿宋_GB2312" w:hAnsi="仿宋_GB2312" w:cs="仿宋_GB2312" w:eastAsia="仿宋_GB2312"/>
                <w:sz w:val="20"/>
                <w:color w:val="0000FF"/>
              </w:rPr>
              <w:t>10</w:t>
            </w:r>
            <w:r>
              <w:rPr>
                <w:rFonts w:ascii="仿宋_GB2312" w:hAnsi="仿宋_GB2312" w:cs="仿宋_GB2312" w:eastAsia="仿宋_GB2312"/>
                <w:sz w:val="20"/>
                <w:color w:val="0000FF"/>
              </w:rPr>
              <w:t>个、渭南市</w:t>
            </w:r>
            <w:r>
              <w:rPr>
                <w:rFonts w:ascii="仿宋_GB2312" w:hAnsi="仿宋_GB2312" w:cs="仿宋_GB2312" w:eastAsia="仿宋_GB2312"/>
                <w:sz w:val="20"/>
                <w:color w:val="0000FF"/>
              </w:rPr>
              <w:t>12</w:t>
            </w:r>
            <w:r>
              <w:rPr>
                <w:rFonts w:ascii="仿宋_GB2312" w:hAnsi="仿宋_GB2312" w:cs="仿宋_GB2312" w:eastAsia="仿宋_GB2312"/>
                <w:sz w:val="20"/>
                <w:color w:val="0000FF"/>
              </w:rPr>
              <w:t>个、咸阳市</w:t>
            </w:r>
            <w:r>
              <w:rPr>
                <w:rFonts w:ascii="仿宋_GB2312" w:hAnsi="仿宋_GB2312" w:cs="仿宋_GB2312" w:eastAsia="仿宋_GB2312"/>
                <w:sz w:val="20"/>
                <w:color w:val="0000FF"/>
              </w:rPr>
              <w:t>6</w:t>
            </w:r>
            <w:r>
              <w:rPr>
                <w:rFonts w:ascii="仿宋_GB2312" w:hAnsi="仿宋_GB2312" w:cs="仿宋_GB2312" w:eastAsia="仿宋_GB2312"/>
                <w:sz w:val="20"/>
                <w:color w:val="0000FF"/>
              </w:rPr>
              <w:t>个。网关升级后，根据当前矿山生产建设状况进行调整安装</w:t>
            </w:r>
          </w:p>
          <w:p>
            <w:pPr>
              <w:pStyle w:val="null3"/>
              <w:ind w:firstLine="400"/>
              <w:jc w:val="both"/>
            </w:pPr>
            <w:r>
              <w:rPr>
                <w:rFonts w:ascii="仿宋_GB2312" w:hAnsi="仿宋_GB2312" w:cs="仿宋_GB2312" w:eastAsia="仿宋_GB2312"/>
                <w:sz w:val="20"/>
                <w:color w:val="0000FF"/>
              </w:rPr>
              <w:t>（二）新增地下矿山井下人员精准定位数据对接模块</w:t>
            </w:r>
          </w:p>
          <w:p>
            <w:pPr>
              <w:pStyle w:val="null3"/>
              <w:ind w:firstLine="400"/>
              <w:jc w:val="both"/>
            </w:pPr>
            <w:r>
              <w:rPr>
                <w:rFonts w:ascii="仿宋_GB2312" w:hAnsi="仿宋_GB2312" w:cs="仿宋_GB2312" w:eastAsia="仿宋_GB2312"/>
                <w:sz w:val="20"/>
                <w:color w:val="0000FF"/>
              </w:rPr>
              <w:t>开发兼容</w:t>
            </w:r>
            <w:r>
              <w:rPr>
                <w:rFonts w:ascii="仿宋_GB2312" w:hAnsi="仿宋_GB2312" w:cs="仿宋_GB2312" w:eastAsia="仿宋_GB2312"/>
                <w:sz w:val="20"/>
                <w:color w:val="0000FF"/>
              </w:rPr>
              <w:t>UWB</w:t>
            </w:r>
            <w:r>
              <w:rPr>
                <w:rFonts w:ascii="仿宋_GB2312" w:hAnsi="仿宋_GB2312" w:cs="仿宋_GB2312" w:eastAsia="仿宋_GB2312"/>
                <w:sz w:val="20"/>
                <w:color w:val="0000FF"/>
              </w:rPr>
              <w:t>、</w:t>
            </w:r>
            <w:r>
              <w:rPr>
                <w:rFonts w:ascii="仿宋_GB2312" w:hAnsi="仿宋_GB2312" w:cs="仿宋_GB2312" w:eastAsia="仿宋_GB2312"/>
                <w:sz w:val="20"/>
                <w:color w:val="0000FF"/>
              </w:rPr>
              <w:t>5G</w:t>
            </w:r>
            <w:r>
              <w:rPr>
                <w:rFonts w:ascii="仿宋_GB2312" w:hAnsi="仿宋_GB2312" w:cs="仿宋_GB2312" w:eastAsia="仿宋_GB2312"/>
                <w:sz w:val="20"/>
                <w:color w:val="0000FF"/>
              </w:rPr>
              <w:t>、</w:t>
            </w:r>
            <w:r>
              <w:rPr>
                <w:rFonts w:ascii="仿宋_GB2312" w:hAnsi="仿宋_GB2312" w:cs="仿宋_GB2312" w:eastAsia="仿宋_GB2312"/>
                <w:sz w:val="20"/>
                <w:color w:val="0000FF"/>
              </w:rPr>
              <w:t>Wi-Fi6</w:t>
            </w:r>
            <w:r>
              <w:rPr>
                <w:rFonts w:ascii="仿宋_GB2312" w:hAnsi="仿宋_GB2312" w:cs="仿宋_GB2312" w:eastAsia="仿宋_GB2312"/>
                <w:sz w:val="20"/>
                <w:color w:val="0000FF"/>
              </w:rPr>
              <w:t>等主流高精度定位技术的通用数据对接接口，制定统一的数据编码、传输格式与接口标准，适配不同厂家、不同型号的企业端定位设备系统，确保所有已建设企业均可按标准实现数据上传。</w:t>
            </w:r>
          </w:p>
          <w:p>
            <w:pPr>
              <w:pStyle w:val="null3"/>
              <w:ind w:firstLine="400"/>
              <w:jc w:val="both"/>
            </w:pPr>
            <w:r>
              <w:rPr>
                <w:rFonts w:ascii="仿宋_GB2312" w:hAnsi="仿宋_GB2312" w:cs="仿宋_GB2312" w:eastAsia="仿宋_GB2312"/>
                <w:sz w:val="20"/>
                <w:color w:val="0000FF"/>
              </w:rPr>
              <w:t>对企业上传的原始定位数据（人员身份、实时位置、行动轨迹、预警信息、设备状态等）进行清洗、转换、校验与标准化处理，消除数据格式差异，确保数据可在省级平台集中汇聚、统一展示。</w:t>
            </w:r>
          </w:p>
          <w:p>
            <w:pPr>
              <w:pStyle w:val="null3"/>
              <w:ind w:firstLine="400"/>
              <w:jc w:val="both"/>
            </w:pPr>
            <w:r>
              <w:rPr>
                <w:rFonts w:ascii="仿宋_GB2312" w:hAnsi="仿宋_GB2312" w:cs="仿宋_GB2312" w:eastAsia="仿宋_GB2312"/>
                <w:sz w:val="20"/>
                <w:color w:val="0000FF"/>
              </w:rPr>
              <w:t>在政府端平台设置专属板块，实现全省地下矿山井下人员管控情况一屏总览，支持按矿山名称、区域精准查询，实时展示单矿井下人员总数、分布、身份、行动轨迹，实现人员位置与井下巷道图精准匹配，重点区域人员动态实时监控。</w:t>
            </w:r>
          </w:p>
          <w:p>
            <w:pPr>
              <w:pStyle w:val="null3"/>
              <w:ind w:firstLine="400"/>
              <w:jc w:val="both"/>
            </w:pPr>
            <w:r>
              <w:rPr>
                <w:rFonts w:ascii="仿宋_GB2312" w:hAnsi="仿宋_GB2312" w:cs="仿宋_GB2312" w:eastAsia="仿宋_GB2312"/>
                <w:sz w:val="20"/>
                <w:color w:val="0000FF"/>
              </w:rPr>
              <w:t>设置统一预警规则，实现超员、入井超时、限制区域、求救预警接入，建立省、市、县三级分级推送机制，预警信息同步推送至属地监管人员与企业责任人，对预警信息建立处置台账，实现</w:t>
            </w:r>
            <w:r>
              <w:rPr>
                <w:rFonts w:ascii="仿宋_GB2312" w:hAnsi="仿宋_GB2312" w:cs="仿宋_GB2312" w:eastAsia="仿宋_GB2312"/>
                <w:sz w:val="20"/>
                <w:color w:val="0000FF"/>
              </w:rPr>
              <w:t>“发现－推送－处置－销号”全流程闭环跟踪。</w:t>
            </w:r>
          </w:p>
          <w:p>
            <w:pPr>
              <w:pStyle w:val="null3"/>
              <w:ind w:firstLine="400"/>
              <w:jc w:val="both"/>
            </w:pPr>
            <w:r>
              <w:rPr>
                <w:rFonts w:ascii="仿宋_GB2312" w:hAnsi="仿宋_GB2312" w:cs="仿宋_GB2312" w:eastAsia="仿宋_GB2312"/>
                <w:sz w:val="20"/>
                <w:color w:val="0000FF"/>
              </w:rPr>
              <w:t>实时监测企业端定位系统设备运行状态，对数据上传中断、设备故障等情况自动提醒；建立加密数据存储机制，实现定位数据长期存储、历史追溯、防篡改，历史轨迹数据存储不少于</w:t>
            </w:r>
            <w:r>
              <w:rPr>
                <w:rFonts w:ascii="仿宋_GB2312" w:hAnsi="仿宋_GB2312" w:cs="仿宋_GB2312" w:eastAsia="仿宋_GB2312"/>
                <w:sz w:val="20"/>
                <w:color w:val="0000FF"/>
              </w:rPr>
              <w:t>1</w:t>
            </w:r>
            <w:r>
              <w:rPr>
                <w:rFonts w:ascii="仿宋_GB2312" w:hAnsi="仿宋_GB2312" w:cs="仿宋_GB2312" w:eastAsia="仿宋_GB2312"/>
                <w:sz w:val="20"/>
                <w:color w:val="0000FF"/>
              </w:rPr>
              <w:t>年，为执法检查、应急处置提供数据支撑。</w:t>
            </w:r>
          </w:p>
          <w:p>
            <w:pPr>
              <w:pStyle w:val="null3"/>
              <w:ind w:firstLine="400"/>
              <w:jc w:val="both"/>
            </w:pPr>
            <w:r>
              <w:rPr>
                <w:rFonts w:ascii="仿宋_GB2312" w:hAnsi="仿宋_GB2312" w:cs="仿宋_GB2312" w:eastAsia="仿宋_GB2312"/>
                <w:sz w:val="20"/>
                <w:color w:val="0000FF"/>
              </w:rPr>
              <w:t>（三）新增全省地下矿山生产作业人员监管模块</w:t>
            </w:r>
          </w:p>
          <w:p>
            <w:pPr>
              <w:pStyle w:val="null3"/>
              <w:ind w:firstLine="400"/>
              <w:jc w:val="both"/>
            </w:pPr>
            <w:r>
              <w:rPr>
                <w:rFonts w:ascii="仿宋_GB2312" w:hAnsi="仿宋_GB2312" w:cs="仿宋_GB2312" w:eastAsia="仿宋_GB2312"/>
                <w:sz w:val="20"/>
                <w:color w:val="0000FF"/>
              </w:rPr>
              <w:t>建设全省地下矿山生产作业人员档案库，通过企业端收集并汇聚全省地下矿山作业人员信息，建立统一电子档案，涵盖人员基本信息、培训记录、证件信息、保险缴纳情况等核心要素，实现下井人员底数清、情况明。系统自动依据档案信息判断人员下井资质，对资质不合规的人员，提前向矿山发出预警提醒；若该人员实际下井，系统直接返回资质不合规的判定结果，从源头把好人员资质关口。</w:t>
            </w:r>
          </w:p>
          <w:p>
            <w:pPr>
              <w:pStyle w:val="null3"/>
              <w:ind w:firstLine="400"/>
              <w:jc w:val="both"/>
            </w:pPr>
            <w:r>
              <w:rPr>
                <w:rFonts w:ascii="仿宋_GB2312" w:hAnsi="仿宋_GB2312" w:cs="仿宋_GB2312" w:eastAsia="仿宋_GB2312"/>
                <w:sz w:val="20"/>
                <w:color w:val="0000FF"/>
              </w:rPr>
              <w:t>建立地下矿山井口通行记录，统一汇聚各矿山企业端上传的人员定位入井数据，涵盖人员身份、通行时间、通行方向、认证方式等关键信息，形成全省统一的井口通行数据集。支持多维度数据查询与导出，自动生成全省下井人员信息记录，为监管分析提供完整、可追溯的数据基础。</w:t>
            </w:r>
          </w:p>
          <w:p>
            <w:pPr>
              <w:pStyle w:val="null3"/>
              <w:ind w:firstLine="400"/>
              <w:jc w:val="both"/>
            </w:pPr>
            <w:r>
              <w:rPr>
                <w:rFonts w:ascii="仿宋_GB2312" w:hAnsi="仿宋_GB2312" w:cs="仿宋_GB2312" w:eastAsia="仿宋_GB2312"/>
                <w:sz w:val="20"/>
                <w:color w:val="0000FF"/>
              </w:rPr>
              <w:t>实现井口唯一性校验，通过比对矿山上传的入井抓拍人脸照片，系统自动提取人脸特征并与人员档案进行比对，联动定位卡信息实现</w:t>
            </w:r>
            <w:r>
              <w:rPr>
                <w:rFonts w:ascii="仿宋_GB2312" w:hAnsi="仿宋_GB2312" w:cs="仿宋_GB2312" w:eastAsia="仿宋_GB2312"/>
                <w:sz w:val="20"/>
                <w:color w:val="0000FF"/>
              </w:rPr>
              <w:t>“人、卡、档”三重一致性核验，对身份不符、人卡不一致等异常情况自动告警，解决矿山自行操控井口闸机、放行无资质人员下井的问题。</w:t>
            </w:r>
          </w:p>
          <w:p>
            <w:pPr>
              <w:pStyle w:val="null3"/>
              <w:ind w:firstLine="400"/>
              <w:jc w:val="both"/>
            </w:pPr>
            <w:r>
              <w:rPr>
                <w:rFonts w:ascii="仿宋_GB2312" w:hAnsi="仿宋_GB2312" w:cs="仿宋_GB2312" w:eastAsia="仿宋_GB2312"/>
                <w:sz w:val="20"/>
                <w:color w:val="0000FF"/>
              </w:rPr>
              <w:t>实现排班人员入井校验，矿山企业定期更新下井作业人员排班计划。系统依据排班计划，结合人员入井通行数据，自动校验实际入井人员是否与计划相符。若出现不在排班名单中的人员、超定员入井等违规情况，系统立即触发违规告警，自动记录告警信息，并将告警信息推送至监管侧及矿山企业。</w:t>
            </w:r>
          </w:p>
          <w:p>
            <w:pPr>
              <w:pStyle w:val="null3"/>
              <w:ind w:firstLine="400"/>
              <w:jc w:val="both"/>
            </w:pPr>
            <w:r>
              <w:rPr>
                <w:rFonts w:ascii="仿宋_GB2312" w:hAnsi="仿宋_GB2312" w:cs="仿宋_GB2312" w:eastAsia="仿宋_GB2312"/>
                <w:sz w:val="20"/>
                <w:color w:val="0000FF"/>
              </w:rPr>
              <w:t>（四）专项工作跟踪管理模块</w:t>
            </w:r>
          </w:p>
          <w:p>
            <w:pPr>
              <w:pStyle w:val="null3"/>
              <w:ind w:firstLine="400"/>
              <w:jc w:val="both"/>
            </w:pPr>
            <w:r>
              <w:rPr>
                <w:rFonts w:ascii="仿宋_GB2312" w:hAnsi="仿宋_GB2312" w:cs="仿宋_GB2312" w:eastAsia="仿宋_GB2312"/>
                <w:sz w:val="20"/>
                <w:color w:val="0000FF"/>
              </w:rPr>
              <w:t>建立全省非煤矿山专项工作统一配置管理机制，支持按工作属性划分阶段性专项与持续性专项，可在后台灵活新增、启用、停用专项类型，无需二次开发即可扩展监管事项。统一制定各类专项工作的填报模板、指标口径、佐证材料清单、审核流程、督办规则与考核标准，实现各类专项工作规范化、标准化管理。</w:t>
            </w:r>
          </w:p>
          <w:p>
            <w:pPr>
              <w:pStyle w:val="null3"/>
              <w:ind w:firstLine="400"/>
              <w:jc w:val="both"/>
            </w:pPr>
            <w:r>
              <w:rPr>
                <w:rFonts w:ascii="仿宋_GB2312" w:hAnsi="仿宋_GB2312" w:cs="仿宋_GB2312" w:eastAsia="仿宋_GB2312"/>
                <w:sz w:val="20"/>
                <w:color w:val="0000FF"/>
              </w:rPr>
              <w:t>配置隐蔽致灾因素普查进度跟踪，针对防范重特大事故开展常态化、长效化、永久化隐蔽致灾因素普查管理，建立普查任务清单与重大致灾因素台账。企业线上填报隐蔽致灾因素普查内容、排查点位、风险隐患清单、治理措施、整改进度、验收结果等信息，实现全过程线上留痕。监管部门对未排查、漏排查、治理滞后、未闭环的矿山实行分级预警、督办与通报。建立</w:t>
            </w:r>
            <w:r>
              <w:rPr>
                <w:rFonts w:ascii="仿宋_GB2312" w:hAnsi="仿宋_GB2312" w:cs="仿宋_GB2312" w:eastAsia="仿宋_GB2312"/>
                <w:sz w:val="20"/>
                <w:color w:val="0000FF"/>
              </w:rPr>
              <w:t>“排查—治理—复核—销号—回头看”全链条长效机制，普查与治理数据永久留存，持续巩固重大风险防控成效。</w:t>
            </w:r>
          </w:p>
          <w:p>
            <w:pPr>
              <w:pStyle w:val="null3"/>
              <w:ind w:firstLine="400"/>
              <w:jc w:val="both"/>
            </w:pPr>
            <w:r>
              <w:rPr>
                <w:rFonts w:ascii="仿宋_GB2312" w:hAnsi="仿宋_GB2312" w:cs="仿宋_GB2312" w:eastAsia="仿宋_GB2312"/>
                <w:sz w:val="20"/>
                <w:color w:val="0000FF"/>
              </w:rPr>
              <w:t>统一进度跟踪与精准核验，搭建省、市、县三级专项工作实时监管看板，按专项类型、区域、矿山分别展示完成率、覆盖率、整改率、滞后率。系统自动校验企业填报信息与佐证材料完整性，监管人员开展线上审核；结合现场抽查核验，录入核验结论、问题清单与整改要求。对进度滞后、未按期完成、整改不到位的矿山自动标红预警，实现分级提醒、挂牌督办、限期闭环。</w:t>
            </w:r>
          </w:p>
          <w:p>
            <w:pPr>
              <w:pStyle w:val="null3"/>
              <w:ind w:firstLine="400"/>
              <w:jc w:val="both"/>
            </w:pPr>
            <w:r>
              <w:rPr>
                <w:rFonts w:ascii="仿宋_GB2312" w:hAnsi="仿宋_GB2312" w:cs="仿宋_GB2312" w:eastAsia="仿宋_GB2312"/>
                <w:sz w:val="20"/>
                <w:color w:val="0000FF"/>
              </w:rPr>
              <w:t>建设成效量化评估与统计分析，针对不同类型专项建立差异化量化评估模型，阶段性专项工作重点评估进度完成率、时效性、应用效果；持续性专项工作重点评估排查覆盖率、隐患整改率、闭环率、长效管理水平。系统自动生成统计报表、区域排名、趋势分析图，为监管决策、工作通报、考核评价提供数据支撑。</w:t>
            </w:r>
          </w:p>
          <w:p>
            <w:pPr>
              <w:pStyle w:val="null3"/>
              <w:jc w:val="both"/>
            </w:pPr>
            <w:r>
              <w:rPr>
                <w:rFonts w:ascii="仿宋_GB2312" w:hAnsi="仿宋_GB2312" w:cs="仿宋_GB2312" w:eastAsia="仿宋_GB2312"/>
                <w:sz w:val="20"/>
                <w:color w:val="0000FF"/>
              </w:rPr>
              <w:t>建设省级非煤矿山专项工作优秀案例库，归集四化建设、隐蔽致灾因素普查治理等典型经验、成熟技术方案与有效管理做法，通过省级监管平台统一展示、共享推广，为全省矿山企业提供参考借鉴，推动重点专项工作高标准落地、高质量见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color w:val="0000FF"/>
              </w:rPr>
              <w:t>三、技术要求</w:t>
            </w:r>
          </w:p>
          <w:p>
            <w:pPr>
              <w:pStyle w:val="null3"/>
              <w:ind w:firstLine="400"/>
              <w:jc w:val="both"/>
            </w:pPr>
            <w:r>
              <w:rPr>
                <w:rFonts w:ascii="仿宋_GB2312" w:hAnsi="仿宋_GB2312" w:cs="仿宋_GB2312" w:eastAsia="仿宋_GB2312"/>
                <w:sz w:val="20"/>
                <w:color w:val="0000FF"/>
              </w:rPr>
              <w:t>（一）性能要求</w:t>
            </w:r>
          </w:p>
          <w:p>
            <w:pPr>
              <w:pStyle w:val="null3"/>
              <w:ind w:firstLine="400"/>
              <w:jc w:val="both"/>
            </w:pPr>
            <w:r>
              <w:rPr>
                <w:rFonts w:ascii="仿宋_GB2312" w:hAnsi="仿宋_GB2312" w:cs="仿宋_GB2312" w:eastAsia="仿宋_GB2312"/>
                <w:sz w:val="20"/>
                <w:color w:val="0000FF"/>
              </w:rPr>
              <w:t>具有容错容灾和备份机制，每年平均故障时间要少于</w:t>
            </w:r>
            <w:r>
              <w:rPr>
                <w:rFonts w:ascii="仿宋_GB2312" w:hAnsi="仿宋_GB2312" w:cs="仿宋_GB2312" w:eastAsia="仿宋_GB2312"/>
                <w:sz w:val="20"/>
                <w:color w:val="0000FF"/>
              </w:rPr>
              <w:t>7</w:t>
            </w:r>
            <w:r>
              <w:rPr>
                <w:rFonts w:ascii="仿宋_GB2312" w:hAnsi="仿宋_GB2312" w:cs="仿宋_GB2312" w:eastAsia="仿宋_GB2312"/>
                <w:sz w:val="20"/>
                <w:color w:val="0000FF"/>
              </w:rPr>
              <w:t>小时，支持不少于</w:t>
            </w:r>
            <w:r>
              <w:rPr>
                <w:rFonts w:ascii="仿宋_GB2312" w:hAnsi="仿宋_GB2312" w:cs="仿宋_GB2312" w:eastAsia="仿宋_GB2312"/>
                <w:sz w:val="20"/>
                <w:color w:val="0000FF"/>
              </w:rPr>
              <w:t>500</w:t>
            </w:r>
            <w:r>
              <w:rPr>
                <w:rFonts w:ascii="仿宋_GB2312" w:hAnsi="仿宋_GB2312" w:cs="仿宋_GB2312" w:eastAsia="仿宋_GB2312"/>
                <w:sz w:val="20"/>
                <w:color w:val="0000FF"/>
              </w:rPr>
              <w:t>个用户的同时在线，初始加载渲染的响应时间不超过</w:t>
            </w:r>
            <w:r>
              <w:rPr>
                <w:rFonts w:ascii="仿宋_GB2312" w:hAnsi="仿宋_GB2312" w:cs="仿宋_GB2312" w:eastAsia="仿宋_GB2312"/>
                <w:sz w:val="20"/>
                <w:color w:val="0000FF"/>
              </w:rPr>
              <w:t>1</w:t>
            </w:r>
            <w:r>
              <w:rPr>
                <w:rFonts w:ascii="仿宋_GB2312" w:hAnsi="仿宋_GB2312" w:cs="仿宋_GB2312" w:eastAsia="仿宋_GB2312"/>
                <w:sz w:val="20"/>
                <w:color w:val="0000FF"/>
              </w:rPr>
              <w:t>秒，完成加载渲染的时间不超过</w:t>
            </w:r>
            <w:r>
              <w:rPr>
                <w:rFonts w:ascii="仿宋_GB2312" w:hAnsi="仿宋_GB2312" w:cs="仿宋_GB2312" w:eastAsia="仿宋_GB2312"/>
                <w:sz w:val="20"/>
                <w:color w:val="0000FF"/>
              </w:rPr>
              <w:t>3</w:t>
            </w:r>
            <w:r>
              <w:rPr>
                <w:rFonts w:ascii="仿宋_GB2312" w:hAnsi="仿宋_GB2312" w:cs="仿宋_GB2312" w:eastAsia="仿宋_GB2312"/>
                <w:sz w:val="20"/>
                <w:color w:val="0000FF"/>
              </w:rPr>
              <w:t>秒。企业端至省级平台数据传输时延不大于</w:t>
            </w:r>
            <w:r>
              <w:rPr>
                <w:rFonts w:ascii="仿宋_GB2312" w:hAnsi="仿宋_GB2312" w:cs="仿宋_GB2312" w:eastAsia="仿宋_GB2312"/>
                <w:sz w:val="20"/>
                <w:color w:val="0000FF"/>
              </w:rPr>
              <w:t>30</w:t>
            </w:r>
            <w:r>
              <w:rPr>
                <w:rFonts w:ascii="仿宋_GB2312" w:hAnsi="仿宋_GB2312" w:cs="仿宋_GB2312" w:eastAsia="仿宋_GB2312"/>
                <w:sz w:val="20"/>
                <w:color w:val="0000FF"/>
              </w:rPr>
              <w:t>秒。系统支持最大</w:t>
            </w:r>
            <w:r>
              <w:rPr>
                <w:rFonts w:ascii="仿宋_GB2312" w:hAnsi="仿宋_GB2312" w:cs="仿宋_GB2312" w:eastAsia="仿宋_GB2312"/>
                <w:sz w:val="20"/>
                <w:color w:val="0000FF"/>
              </w:rPr>
              <w:t>16</w:t>
            </w:r>
            <w:r>
              <w:rPr>
                <w:rFonts w:ascii="仿宋_GB2312" w:hAnsi="仿宋_GB2312" w:cs="仿宋_GB2312" w:eastAsia="仿宋_GB2312"/>
                <w:sz w:val="20"/>
                <w:color w:val="0000FF"/>
              </w:rPr>
              <w:t>路视频同时浏览功能。</w:t>
            </w:r>
          </w:p>
          <w:p>
            <w:pPr>
              <w:pStyle w:val="null3"/>
              <w:ind w:firstLine="400"/>
              <w:jc w:val="both"/>
            </w:pPr>
            <w:r>
              <w:rPr>
                <w:rFonts w:ascii="仿宋_GB2312" w:hAnsi="仿宋_GB2312" w:cs="仿宋_GB2312" w:eastAsia="仿宋_GB2312"/>
                <w:sz w:val="20"/>
                <w:color w:val="0000FF"/>
              </w:rPr>
              <w:t>（二）稳定性要求</w:t>
            </w:r>
          </w:p>
          <w:p>
            <w:pPr>
              <w:pStyle w:val="null3"/>
              <w:ind w:firstLine="400"/>
              <w:jc w:val="both"/>
            </w:pPr>
            <w:r>
              <w:rPr>
                <w:rFonts w:ascii="仿宋_GB2312" w:hAnsi="仿宋_GB2312" w:cs="仿宋_GB2312" w:eastAsia="仿宋_GB2312"/>
                <w:sz w:val="20"/>
                <w:color w:val="0000FF"/>
              </w:rPr>
              <w:t>系统软、硬件体系架构的设计应充分考虑安全性和可靠性，使系统能够连续、高效、不间断运行（</w:t>
            </w:r>
            <w:r>
              <w:rPr>
                <w:rFonts w:ascii="仿宋_GB2312" w:hAnsi="仿宋_GB2312" w:cs="仿宋_GB2312" w:eastAsia="仿宋_GB2312"/>
                <w:sz w:val="20"/>
                <w:color w:val="0000FF"/>
              </w:rPr>
              <w:t>7*24</w:t>
            </w:r>
            <w:r>
              <w:rPr>
                <w:rFonts w:ascii="仿宋_GB2312" w:hAnsi="仿宋_GB2312" w:cs="仿宋_GB2312" w:eastAsia="仿宋_GB2312"/>
                <w:sz w:val="20"/>
                <w:color w:val="0000FF"/>
              </w:rPr>
              <w:t>小时），保证用户随时进行访问。</w:t>
            </w:r>
          </w:p>
          <w:p>
            <w:pPr>
              <w:pStyle w:val="null3"/>
              <w:ind w:firstLine="400"/>
              <w:jc w:val="both"/>
            </w:pPr>
            <w:r>
              <w:rPr>
                <w:rFonts w:ascii="仿宋_GB2312" w:hAnsi="仿宋_GB2312" w:cs="仿宋_GB2312" w:eastAsia="仿宋_GB2312"/>
                <w:sz w:val="20"/>
                <w:color w:val="0000FF"/>
              </w:rPr>
              <w:t>应制定明确的应急恢复策略，并具备基于此策略的高可用性解决方案。对于一般故障，应保证出现故障后十五分钟内恢复系统正常运行。应制定数据库备份策略，有详细的数据备份计划，保证数据不会丢失或损坏。</w:t>
            </w:r>
          </w:p>
          <w:p>
            <w:pPr>
              <w:pStyle w:val="null3"/>
              <w:ind w:firstLine="400"/>
              <w:jc w:val="both"/>
            </w:pPr>
            <w:r>
              <w:rPr>
                <w:rFonts w:ascii="仿宋_GB2312" w:hAnsi="仿宋_GB2312" w:cs="仿宋_GB2312" w:eastAsia="仿宋_GB2312"/>
                <w:sz w:val="20"/>
                <w:color w:val="0000FF"/>
              </w:rPr>
              <w:t>（三）安全要求</w:t>
            </w:r>
          </w:p>
          <w:p>
            <w:pPr>
              <w:pStyle w:val="null3"/>
              <w:ind w:firstLine="400"/>
              <w:jc w:val="both"/>
            </w:pPr>
            <w:r>
              <w:rPr>
                <w:rFonts w:ascii="仿宋_GB2312" w:hAnsi="仿宋_GB2312" w:cs="仿宋_GB2312" w:eastAsia="仿宋_GB2312"/>
                <w:sz w:val="20"/>
                <w:color w:val="0000FF"/>
              </w:rPr>
              <w:t>系统部署在陕西省政务云平台，部署实施工作由项目实施单位承担，陕西省应急管理厅负责协调资源申请等相关工作。</w:t>
            </w:r>
          </w:p>
          <w:p>
            <w:pPr>
              <w:pStyle w:val="null3"/>
              <w:ind w:firstLine="400"/>
              <w:jc w:val="both"/>
            </w:pPr>
            <w:r>
              <w:rPr>
                <w:rFonts w:ascii="仿宋_GB2312" w:hAnsi="仿宋_GB2312" w:cs="仿宋_GB2312" w:eastAsia="仿宋_GB2312"/>
                <w:sz w:val="20"/>
                <w:color w:val="0000FF"/>
              </w:rPr>
              <w:t>（四）信创合规要求</w:t>
            </w:r>
          </w:p>
          <w:p>
            <w:pPr>
              <w:pStyle w:val="null3"/>
              <w:ind w:firstLine="400"/>
              <w:jc w:val="both"/>
            </w:pPr>
            <w:r>
              <w:rPr>
                <w:rFonts w:ascii="仿宋_GB2312" w:hAnsi="仿宋_GB2312" w:cs="仿宋_GB2312" w:eastAsia="仿宋_GB2312"/>
                <w:sz w:val="20"/>
                <w:color w:val="0000FF"/>
              </w:rPr>
              <w:t>严格遵循国家信创战略要求，全面采用国产化技术路线，核心软硬件（含服务器、操作系统、数据库、中间件等）须纳入国家信创产品目录，通过适配测试及商用密码应用安全性评估，确保全栈自主可控、安全合规</w:t>
            </w:r>
            <w:r>
              <w:rPr>
                <w:rFonts w:ascii="仿宋_GB2312" w:hAnsi="仿宋_GB2312" w:cs="仿宋_GB2312" w:eastAsia="仿宋_GB2312"/>
                <w:sz w:val="20"/>
                <w:color w:val="0000FF"/>
              </w:rPr>
              <w:t>。</w:t>
            </w:r>
          </w:p>
          <w:p>
            <w:pPr>
              <w:pStyle w:val="null3"/>
              <w:ind w:firstLine="400"/>
              <w:jc w:val="both"/>
            </w:pPr>
            <w:r>
              <w:rPr>
                <w:rFonts w:ascii="仿宋_GB2312" w:hAnsi="仿宋_GB2312" w:cs="仿宋_GB2312" w:eastAsia="仿宋_GB2312"/>
                <w:sz w:val="20"/>
                <w:color w:val="0000FF"/>
              </w:rPr>
              <w:t>（五）技术资料</w:t>
            </w:r>
          </w:p>
          <w:p>
            <w:pPr>
              <w:pStyle w:val="null3"/>
              <w:jc w:val="both"/>
            </w:pPr>
            <w:r>
              <w:rPr>
                <w:rFonts w:ascii="仿宋_GB2312" w:hAnsi="仿宋_GB2312" w:cs="仿宋_GB2312" w:eastAsia="仿宋_GB2312"/>
                <w:sz w:val="20"/>
                <w:color w:val="0000FF"/>
              </w:rPr>
              <w:t>版权归采购方所有。所有系统完整安装程序（可运行）及相关资料（包括但不限于需求、设计、部署、测试、联调、培训、运维等）按采购方要求执行，项目验收时需提交项目过程中产生的所有安装程序、文档、资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color w:val="0000FF"/>
              </w:rPr>
              <w:t>四、其他要求</w:t>
            </w:r>
          </w:p>
          <w:p>
            <w:pPr>
              <w:pStyle w:val="null3"/>
              <w:jc w:val="both"/>
            </w:pPr>
            <w:r>
              <w:rPr>
                <w:rFonts w:ascii="仿宋_GB2312" w:hAnsi="仿宋_GB2312" w:cs="仿宋_GB2312" w:eastAsia="仿宋_GB2312"/>
                <w:sz w:val="20"/>
                <w:color w:val="0000FF"/>
              </w:rPr>
              <w:t>1.</w:t>
            </w:r>
            <w:r>
              <w:rPr>
                <w:rFonts w:ascii="仿宋_GB2312" w:hAnsi="仿宋_GB2312" w:cs="仿宋_GB2312" w:eastAsia="仿宋_GB2312"/>
                <w:sz w:val="20"/>
                <w:color w:val="0000FF"/>
              </w:rPr>
              <w:t>质保期：验收合格后</w:t>
            </w:r>
            <w:r>
              <w:rPr>
                <w:rFonts w:ascii="仿宋_GB2312" w:hAnsi="仿宋_GB2312" w:cs="仿宋_GB2312" w:eastAsia="仿宋_GB2312"/>
                <w:sz w:val="20"/>
                <w:color w:val="0000FF"/>
              </w:rPr>
              <w:t>5</w:t>
            </w:r>
            <w:r>
              <w:rPr>
                <w:rFonts w:ascii="仿宋_GB2312" w:hAnsi="仿宋_GB2312" w:cs="仿宋_GB2312" w:eastAsia="仿宋_GB2312"/>
                <w:sz w:val="20"/>
                <w:color w:val="0000FF"/>
              </w:rPr>
              <w:t>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满足项目实施需要。</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2026年10月31日前完成交付并验收合格。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2026年10月31日前完成交付并验收合格。</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进度款，项目验收合格后，达到付款条件起15个工作日内，支付合同总金额的20.0%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投标文件，另外，在投标截止时间前向代理机构递交密封、系统生成的纸质版投标文件壹份（胶装，封袋标注供应商名称和项目名称）。代理机构对递交的文件签收，由监标人查验密封情况并记录，开标后交评标委员会，作为评审的辅助资料。递交方式：现场递交，或顺丰邮寄。 2.供应商请仔细阅读采购文件《第一章 投标邀请》第五条“电子化采购相关事项”，提前做好线上开标准备。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注册证照</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投标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2026年1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注册证照</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投标截止时间前90天内基本账户银行出具的资信证明。注：①提供财务报告的，内容至少包括审计报告、附注。审计报告需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2026年1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2026年1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采购评审中出现下列情形之一的，评标委员会应当启动异常低价响应审查程序: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(4)评标委员会基于专业判断，认为供应商报价过低，有可能影响产品质量或者不能诚信履约的其他情形。 评标委员会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投标文件一并提交相关书面说明及必要的证明材料的，在评审现场可不再重复提交。供应商不能证明其报价合理性的或者未在规定时间内提交材料或者提交了材料但是材料不齐全的，评标委员会应当将其作为无效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2026年10月31日前完成交付并验收合格。</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1.合同签订生效后，达到付款条件起15个工作日内，支付合同总金额的80.0%；项目验收合格后，达到付款条件起15个工作日内，支付合同总金额的20.0%。 2.中标后5个工作日内向采购人交纳合同价款5%的履约保证金。 3.质保期：验收合格后5年。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采购评审中出现下列情形之一的，评标委员会应当启动异常低价响应审查程序: (1)响应报价低于全部通过符合性审查供应商响应报价平均值50%的，即响应报价〈全部通过符合性审查供应商响应报价平均值X50％； (2)响应报价低于通过符合性审查的次低报价供应商响应报价的50%，即响应报价〈通过符合性审查的次低报价供应商响应报价X50%； (3)响应报价低于采购项目最高限价45%的，即响应报价&lt;采购项目最高限价X45%； (4)评标委员会基于专业判断，认为供应商报价过低，有可能影响产品质量或者不能诚信履约的其他情形。 评标委员会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投标文件一并提交相关书面说明及必要的证明材料的，在评审现场可不再重复提交。供应商不能证明其报价合理性的或者未在规定时间内提交材料或者提交了材料但是材料不齐全的，评标委员会应当将其作为无效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供应商应按格式填写单位名称，至少以下文件的名称须和营业执照、公章一致：1.投标文件封面。2.投标函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2026年10月31日前完成交付并验收合格。</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1.合同签订生效后，达到付款条件起15个工作日内，支付合同总金额的80.0%；项目验收合格后，达到付款条件起15个工作日内，支付合同总金额的20.0%。 2.中标后5个工作日内向采购人交纳合同价款5%的履约保证金。 3.质保期：验收合格后5年。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总体技术方案</w:t>
            </w:r>
          </w:p>
        </w:tc>
        <w:tc>
          <w:tcPr>
            <w:tcW w:type="dxa" w:w="2492"/>
          </w:tcPr>
          <w:p>
            <w:pPr>
              <w:pStyle w:val="null3"/>
            </w:pPr>
            <w:r>
              <w:rPr>
                <w:rFonts w:ascii="仿宋_GB2312" w:hAnsi="仿宋_GB2312" w:cs="仿宋_GB2312" w:eastAsia="仿宋_GB2312"/>
              </w:rPr>
              <w:t>一、投标人需根据采购需求提供总体开发技术方案，包括但不限于（1）系统架构（2）数据库类型（3）逻辑层次（4）兼容性等。 二、评审标准：开发逻辑层次清晰，开发技术架构安全可靠，数据库类型合理，兼容性适配性强，得6分，每有一处缺陷扣1分，扣完为止。注：缺陷是指内容存在不完整或缺少关键点、只有简单描述、粗略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总体技术方案.docx</w:t>
            </w:r>
          </w:p>
        </w:tc>
      </w:tr>
      <w:tr>
        <w:tc>
          <w:tcPr>
            <w:tcW w:type="dxa" w:w="831"/>
            <w:vMerge/>
          </w:tcPr>
          <w:p/>
        </w:tc>
        <w:tc>
          <w:tcPr>
            <w:tcW w:type="dxa" w:w="1661"/>
          </w:tcPr>
          <w:p>
            <w:pPr>
              <w:pStyle w:val="null3"/>
            </w:pPr>
            <w:r>
              <w:rPr>
                <w:rFonts w:ascii="仿宋_GB2312" w:hAnsi="仿宋_GB2312" w:cs="仿宋_GB2312" w:eastAsia="仿宋_GB2312"/>
              </w:rPr>
              <w:t>功能技术方案</w:t>
            </w:r>
          </w:p>
        </w:tc>
        <w:tc>
          <w:tcPr>
            <w:tcW w:type="dxa" w:w="2492"/>
          </w:tcPr>
          <w:p>
            <w:pPr>
              <w:pStyle w:val="null3"/>
            </w:pPr>
            <w:r>
              <w:rPr>
                <w:rFonts w:ascii="仿宋_GB2312" w:hAnsi="仿宋_GB2312" w:cs="仿宋_GB2312" w:eastAsia="仿宋_GB2312"/>
              </w:rPr>
              <w:t>一、投标人需根据采购需求提供功能实现的技术方案，内容包括但不限于（1）自动化监测（2）在线监测数据评测及优化预警模型（3）合规化管理功能等，共3项，每项最高6分，本项最高18分。 二、评审标准：技术手段成熟可靠，操作界面和操作链条设计清晰，接口通用，数据编码、传输格式与接口标准规范，兼容性适配性强，得6分，每有一处缺陷扣1分，扣完为止。注：缺陷同前款。</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功能技术方案.docx</w:t>
            </w:r>
          </w:p>
        </w:tc>
      </w:tr>
      <w:tr>
        <w:tc>
          <w:tcPr>
            <w:tcW w:type="dxa" w:w="831"/>
            <w:vMerge/>
          </w:tcPr>
          <w:p/>
        </w:tc>
        <w:tc>
          <w:tcPr>
            <w:tcW w:type="dxa" w:w="1661"/>
          </w:tcPr>
          <w:p>
            <w:pPr>
              <w:pStyle w:val="null3"/>
            </w:pPr>
            <w:r>
              <w:rPr>
                <w:rFonts w:ascii="仿宋_GB2312" w:hAnsi="仿宋_GB2312" w:cs="仿宋_GB2312" w:eastAsia="仿宋_GB2312"/>
              </w:rPr>
              <w:t>优化升级技术方案</w:t>
            </w:r>
          </w:p>
        </w:tc>
        <w:tc>
          <w:tcPr>
            <w:tcW w:type="dxa" w:w="2492"/>
          </w:tcPr>
          <w:p>
            <w:pPr>
              <w:pStyle w:val="null3"/>
            </w:pPr>
            <w:r>
              <w:rPr>
                <w:rFonts w:ascii="仿宋_GB2312" w:hAnsi="仿宋_GB2312" w:cs="仿宋_GB2312" w:eastAsia="仿宋_GB2312"/>
              </w:rPr>
              <w:t>一、投标人需根据采购需求和自身实力提供对现有系统的优化方案，包括但不限于（1）前期资料收集和技术准备（2）优化思路（3）技术手段等。 二、评审标准：前期资料收集和技术准备逻辑清晰，优化思路明确，技术手段和优化目标具体，得5分，每有一处缺陷扣1分，扣完为止。注：缺陷同前款。</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优化升级技术方案.docx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一、提供具有针对性的实施方案，包含但不限于①总体进度计划及各阶段的时间节点计划②各阶段的工作流程③各阶段进度的保证措施等。 二、评审标准：进度计划链条完整，内容具体，节点时间清晰，控制措施紧密有效，针对性可行性强，得3分。每有一处缺陷扣1分，扣完为止。注：①缺陷同前款。②未提供时间节点计划的本项（3分）不得分。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一、投标人根据自身经验和项目需求提供应急预案，包括但不限于（1）常见突发状况分析（2）应急响应机制（3）应急响应措施等。 二、评审标准：应急预案全面，内容详实，响应机制清晰，响应措施具体，能快速有效应对常见的突发状况，针对性可行性强，得3分。每有一处缺陷扣1分，扣完为止。注：缺陷同前款。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售后服务方案①</w:t>
            </w:r>
          </w:p>
        </w:tc>
        <w:tc>
          <w:tcPr>
            <w:tcW w:type="dxa" w:w="2492"/>
          </w:tcPr>
          <w:p>
            <w:pPr>
              <w:pStyle w:val="null3"/>
            </w:pPr>
            <w:r>
              <w:rPr>
                <w:rFonts w:ascii="仿宋_GB2312" w:hAnsi="仿宋_GB2312" w:cs="仿宋_GB2312" w:eastAsia="仿宋_GB2312"/>
              </w:rPr>
              <w:t>一、提供针对本项目的售后服务方案，包括但不限于（1）售后服务机构设置和人员配置（2）服务内容（3）服务方式（4）培训等。 二、评审标准：服务方案完整，内容详细，方式具体，响应迅速，针对性可行性强，得2分，每有一处缺陷扣0.5分，扣完为止。注：缺陷同前款。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售后服务方案②</w:t>
            </w:r>
          </w:p>
        </w:tc>
        <w:tc>
          <w:tcPr>
            <w:tcW w:type="dxa" w:w="2492"/>
          </w:tcPr>
          <w:p>
            <w:pPr>
              <w:pStyle w:val="null3"/>
            </w:pPr>
            <w:r>
              <w:rPr>
                <w:rFonts w:ascii="仿宋_GB2312" w:hAnsi="仿宋_GB2312" w:cs="仿宋_GB2312" w:eastAsia="仿宋_GB2312"/>
              </w:rPr>
              <w:t>1.质保期内，提供6小时到场服务的书面承诺，得3分。提供12小时到场服务的书面承诺，得2分，提供24小时到场服务的书面承诺，得1分。 2.质保期内，提供每年4次现场系统性巡检维护服务的书面承诺，得1分，每增加1次得0.5分。本小项最高2分。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项目团队①</w:t>
            </w:r>
          </w:p>
        </w:tc>
        <w:tc>
          <w:tcPr>
            <w:tcW w:type="dxa" w:w="2492"/>
          </w:tcPr>
          <w:p>
            <w:pPr>
              <w:pStyle w:val="null3"/>
            </w:pPr>
            <w:r>
              <w:rPr>
                <w:rFonts w:ascii="仿宋_GB2312" w:hAnsi="仿宋_GB2312" w:cs="仿宋_GB2312" w:eastAsia="仿宋_GB2312"/>
              </w:rPr>
              <w:t>一、投标人须根据自身实力和经验提供针对本项目的组织架构，包括但不限于（1）组织架构（2）人员配置及职责分工（3）工作流程等。 二、评审标准：项目组织架构完善，人员配置具体，分工和工作职责划分明确，工作流程链条完整，溯源机制清晰，得3分，每有一处缺陷扣1分，扣完为止。注：缺陷同前款。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项目团队②</w:t>
            </w:r>
          </w:p>
        </w:tc>
        <w:tc>
          <w:tcPr>
            <w:tcW w:type="dxa" w:w="2492"/>
          </w:tcPr>
          <w:p>
            <w:pPr>
              <w:pStyle w:val="null3"/>
            </w:pPr>
            <w:r>
              <w:rPr>
                <w:rFonts w:ascii="仿宋_GB2312" w:hAnsi="仿宋_GB2312" w:cs="仿宋_GB2312" w:eastAsia="仿宋_GB2312"/>
              </w:rPr>
              <w:t>1.本项目拟派项目负责人具有计算机类相关专业高级职称或资格的，得3分。 2.本项目拟派技术负责人具有3年以上信息化建设工作经验，同时具有：计算机类相关专业高级职称或资格的，得3分。 注：①提供相应的证书。计算机技术职业资格以中国计算机技术职业资格考试网为准。技术负责人工作经验以个人简历表为准。②提供投标截止时间前三个月内任意一个月本单位为其缴纳社保的凭证。③退休人员或劳务派遣人员不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项目团队③</w:t>
            </w:r>
          </w:p>
        </w:tc>
        <w:tc>
          <w:tcPr>
            <w:tcW w:type="dxa" w:w="2492"/>
          </w:tcPr>
          <w:p>
            <w:pPr>
              <w:pStyle w:val="null3"/>
            </w:pPr>
            <w:r>
              <w:rPr>
                <w:rFonts w:ascii="仿宋_GB2312" w:hAnsi="仿宋_GB2312" w:cs="仿宋_GB2312" w:eastAsia="仿宋_GB2312"/>
              </w:rPr>
              <w:t>项目团队除项目负责人和技术负责人外：（本项最高11分） 1.不少于5人得3分，在此基础上每增加1人得1分，最高2分。本小项最最高5分。 2.每提供1名计算机类相关专业高级职称或资格的，得3分；每提供1名计算机类相关专业中级职称或资格的，得1.5分。最高6分。 注：①提供相应的证书。计算机技术职业资格以中国计算机技术职业资格考试网为准。②提供投标截止时间前三个月内任意一个月本单位为其缴纳社保的凭证。③退休人员或劳务派遣人员不计。</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企业实力①</w:t>
            </w:r>
          </w:p>
        </w:tc>
        <w:tc>
          <w:tcPr>
            <w:tcW w:type="dxa" w:w="2492"/>
          </w:tcPr>
          <w:p>
            <w:pPr>
              <w:pStyle w:val="null3"/>
            </w:pPr>
            <w:r>
              <w:rPr>
                <w:rFonts w:ascii="仿宋_GB2312" w:hAnsi="仿宋_GB2312" w:cs="仿宋_GB2312" w:eastAsia="仿宋_GB2312"/>
              </w:rPr>
              <w:t>投标人具有有效的： 1.质量管理体系认证证书、环境管理体系认证证书、职业健康安全管理体系认证证书，得2分，不全的不得分。 2.信息安全管理体系认证证书，得2分。 3.信息技术管理体系认证证书，得2分。 4.信息技术服务运行维护标准符合性证书（ITSS）三级及以上得2分，三级以下（不含三级）得1分。 注：需提供认证证书。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企业实力②</w:t>
            </w:r>
          </w:p>
        </w:tc>
        <w:tc>
          <w:tcPr>
            <w:tcW w:type="dxa" w:w="2492"/>
          </w:tcPr>
          <w:p>
            <w:pPr>
              <w:pStyle w:val="null3"/>
            </w:pPr>
            <w:r>
              <w:rPr>
                <w:rFonts w:ascii="仿宋_GB2312" w:hAnsi="仿宋_GB2312" w:cs="仿宋_GB2312" w:eastAsia="仿宋_GB2312"/>
              </w:rPr>
              <w:t>投标人具有信息系统类软件著作权的，每提供1份得0.5分，最高10分。注：需提供软件著作权证书。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投标人每提供1份2022年1月1日至今类似项目（信息系统开发类）业绩得2分，最高10分。 注：①业绩以合同为准，时间以合同签订时间为准。②至少需提供合同的是封面、首页、主要内容页、签字盖章页等。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10分。注：计算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物联网关适配改造及数据接入方案</w:t>
            </w:r>
          </w:p>
        </w:tc>
        <w:tc>
          <w:tcPr>
            <w:tcW w:type="dxa" w:w="2492"/>
          </w:tcPr>
          <w:p>
            <w:pPr>
              <w:pStyle w:val="null3"/>
            </w:pPr>
            <w:r>
              <w:rPr>
                <w:rFonts w:ascii="仿宋_GB2312" w:hAnsi="仿宋_GB2312" w:cs="仿宋_GB2312" w:eastAsia="仿宋_GB2312"/>
              </w:rPr>
              <w:t>一、提供物联网关适配改造及数据接入方案，包括但不限于（1）设备信息的梳理和维护。（2）按照国家现行规范标准，重新接入130座非煤矿山基础信息、监测、监控、人员定位等重点数据等。 二、评审标准：工作链条完整，各部分工作内容详实，措施具体，针对性可行性5分。每有一处缺陷扣1分，扣完为止。注：缺陷是指内容存在不完整或缺少关键点、只有简单描述、粗略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物联网关适配改造及数据接入方案.docx</w:t>
            </w:r>
          </w:p>
        </w:tc>
      </w:tr>
      <w:tr>
        <w:tc>
          <w:tcPr>
            <w:tcW w:type="dxa" w:w="831"/>
            <w:vMerge/>
          </w:tcPr>
          <w:p/>
        </w:tc>
        <w:tc>
          <w:tcPr>
            <w:tcW w:type="dxa" w:w="1661"/>
          </w:tcPr>
          <w:p>
            <w:pPr>
              <w:pStyle w:val="null3"/>
            </w:pPr>
            <w:r>
              <w:rPr>
                <w:rFonts w:ascii="仿宋_GB2312" w:hAnsi="仿宋_GB2312" w:cs="仿宋_GB2312" w:eastAsia="仿宋_GB2312"/>
              </w:rPr>
              <w:t>开发技术方案</w:t>
            </w:r>
          </w:p>
        </w:tc>
        <w:tc>
          <w:tcPr>
            <w:tcW w:type="dxa" w:w="2492"/>
          </w:tcPr>
          <w:p>
            <w:pPr>
              <w:pStyle w:val="null3"/>
            </w:pPr>
            <w:r>
              <w:rPr>
                <w:rFonts w:ascii="仿宋_GB2312" w:hAnsi="仿宋_GB2312" w:cs="仿宋_GB2312" w:eastAsia="仿宋_GB2312"/>
              </w:rPr>
              <w:t>一、投标人需根据采购需求提供相应模块的开发技术方案，包括（1）新增地下矿山井下人员精准定位数据对接模块（2）新增全省地下矿山生产作业人员监管模块（3）专项工作跟踪管理模块。每个模块最高8分，本项最高24分。 二、评审标准：开发逻辑层次清晰，开发技术架构安全可靠，数据接口通用，数据编码、传输格式与接口标准规范，适配性强，功能能完全响应本项目需求，技术措施具体，得8分。每有一处缺陷扣1分，扣完为止。注：缺陷同前款。</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开发技术方案.docx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一、提供具有针对性的实施方案，包含但不限于①总体进度计划及各阶段的时间节点计划②各阶段的工作流程③各阶段进度的保证措施等。 二、评审标准：进度计划链条完整，内容具体，节点时间清晰，控制措施紧密有效，针对性可行性强，得3分。每有一处缺陷扣1分，扣完为止。注：①缺陷同前款。②未提供时间节点计划的本项（3分）不得分。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一、投标人根据自身经验和项目需求提供应急预案，包括但不限于①常见突发状况分析②应急响应机制③应急响应措施等。 二、评审标准：应急预案内容完整，响应机制清晰，响应措施具体，能快速有效应对常见的突发状况，针对性可行性强，得3分。每有一处缺陷扣1分，扣完为止。注：缺陷同前款。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售后服务方案①</w:t>
            </w:r>
          </w:p>
        </w:tc>
        <w:tc>
          <w:tcPr>
            <w:tcW w:type="dxa" w:w="2492"/>
          </w:tcPr>
          <w:p>
            <w:pPr>
              <w:pStyle w:val="null3"/>
            </w:pPr>
            <w:r>
              <w:rPr>
                <w:rFonts w:ascii="仿宋_GB2312" w:hAnsi="仿宋_GB2312" w:cs="仿宋_GB2312" w:eastAsia="仿宋_GB2312"/>
              </w:rPr>
              <w:t>一、提供针对本项目的售后服务方案，包括但不限于①售后服务机构设置和人员配置②服务内容③服务方式④培训等。 二、评审标准：服务方案完整，内容详细，方式具体，响应迅速，针对性可行性强，得2分，每有一处缺陷扣0.5分，扣完为止。注：缺陷同前款。</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售后服务方案②</w:t>
            </w:r>
          </w:p>
        </w:tc>
        <w:tc>
          <w:tcPr>
            <w:tcW w:type="dxa" w:w="2492"/>
          </w:tcPr>
          <w:p>
            <w:pPr>
              <w:pStyle w:val="null3"/>
            </w:pPr>
            <w:r>
              <w:rPr>
                <w:rFonts w:ascii="仿宋_GB2312" w:hAnsi="仿宋_GB2312" w:cs="仿宋_GB2312" w:eastAsia="仿宋_GB2312"/>
              </w:rPr>
              <w:t>1.质保期内，提供6小时到场服务的书面承诺，得3分。提供12小时到场服务的书面承诺，得2分，提供24小时到场服务的书面承诺，得1分。 2.质保期内，提供每年4次现场系统性巡检维护服务的书面承诺，得1分。每增加1次得0.5分.本小项最高2分。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项目团队①</w:t>
            </w:r>
          </w:p>
        </w:tc>
        <w:tc>
          <w:tcPr>
            <w:tcW w:type="dxa" w:w="2492"/>
          </w:tcPr>
          <w:p>
            <w:pPr>
              <w:pStyle w:val="null3"/>
            </w:pPr>
            <w:r>
              <w:rPr>
                <w:rFonts w:ascii="仿宋_GB2312" w:hAnsi="仿宋_GB2312" w:cs="仿宋_GB2312" w:eastAsia="仿宋_GB2312"/>
              </w:rPr>
              <w:t>一、投标人须根据自身实力和经验提供针对本项目的组织架构，包括但不限于①组织架构②人员配置及职责分工③工作流程等。 二、评审标准：项目组织架构完善，人员配置具体，分工和工作职责划分明确，工作流程链条完整，溯源机制清晰，得3分，每有一处缺陷扣1分，扣完为止。注：缺陷同前款。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项目团队②</w:t>
            </w:r>
          </w:p>
        </w:tc>
        <w:tc>
          <w:tcPr>
            <w:tcW w:type="dxa" w:w="2492"/>
          </w:tcPr>
          <w:p>
            <w:pPr>
              <w:pStyle w:val="null3"/>
            </w:pPr>
            <w:r>
              <w:rPr>
                <w:rFonts w:ascii="仿宋_GB2312" w:hAnsi="仿宋_GB2312" w:cs="仿宋_GB2312" w:eastAsia="仿宋_GB2312"/>
              </w:rPr>
              <w:t>1.本项目拟派项目负责人具有计算机类相关专业高级职称或资格的，得3分。 2.本项目拟派技术负责人具有3年以上信息化建设工作经验，同时具有：计算机类相关专业高级职称或资格的，得3分。 注：①提供相应的证书。计算机技术职业资格以中国计算机技术职业资格考试网为准。技术负责人工作经验以个人简历表为准。②提供投标截止时间前三个月内任意一个月本单位为其缴纳社保的凭证。③退休人员或劳务派遣人员不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项目团队③</w:t>
            </w:r>
          </w:p>
        </w:tc>
        <w:tc>
          <w:tcPr>
            <w:tcW w:type="dxa" w:w="2492"/>
          </w:tcPr>
          <w:p>
            <w:pPr>
              <w:pStyle w:val="null3"/>
            </w:pPr>
            <w:r>
              <w:rPr>
                <w:rFonts w:ascii="仿宋_GB2312" w:hAnsi="仿宋_GB2312" w:cs="仿宋_GB2312" w:eastAsia="仿宋_GB2312"/>
              </w:rPr>
              <w:t>项目团队除项目负责人和技术负责人外：（本项最高11分） 1.不少于5人得3分，在此基础上每增加1人得1分，最高2分。本小项最最高5分。 2.每提供1名计算机类相关专业高级职称或资格的，得3分；每提供1名计算机类相关专业中级职称或资格的，得1.5分。最高6分。 注：①提供相应的证书。计算机技术职业资格以中国计算机技术职业资格考试网为准。②提供投标截止时间前三个月内任意一个月本单位为其缴纳社保的凭证。③退休人员或劳务派遣人员不计。</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企业实力①</w:t>
            </w:r>
          </w:p>
        </w:tc>
        <w:tc>
          <w:tcPr>
            <w:tcW w:type="dxa" w:w="2492"/>
          </w:tcPr>
          <w:p>
            <w:pPr>
              <w:pStyle w:val="null3"/>
            </w:pPr>
            <w:r>
              <w:rPr>
                <w:rFonts w:ascii="仿宋_GB2312" w:hAnsi="仿宋_GB2312" w:cs="仿宋_GB2312" w:eastAsia="仿宋_GB2312"/>
              </w:rPr>
              <w:t>投标人具有有效的： 1.质量管理体系认证证书、环境管理体系认证证书、职业健康安全管理体系认证证书，得2分，不全的不得分。 2.信息安全管理体系认证证书，得2分。 3.信息技术管理体系认证证书，得2分。 4.信息技术服务运行维护标准符合性证书（ITSS）三级及以上得2分，三级以下（不含三级）得1分。 注：需提供认证证书。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企业实力②</w:t>
            </w:r>
          </w:p>
        </w:tc>
        <w:tc>
          <w:tcPr>
            <w:tcW w:type="dxa" w:w="2492"/>
          </w:tcPr>
          <w:p>
            <w:pPr>
              <w:pStyle w:val="null3"/>
            </w:pPr>
            <w:r>
              <w:rPr>
                <w:rFonts w:ascii="仿宋_GB2312" w:hAnsi="仿宋_GB2312" w:cs="仿宋_GB2312" w:eastAsia="仿宋_GB2312"/>
              </w:rPr>
              <w:t>投标人具有信息系统类软件著作权的，每提供1份得0.5分，最高10分。注：需提供软件著作权证书。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投标人每提供1份2022年1月1日至今类似项目（信息系统开发类）业绩得2分，最高10分。 注：①业绩以合同为准，时间以合同签订时间为准。②至少需提供合同的是封面、首页、主要内容页、签字盖章页等。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10分。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详见附件：功能技术方案.docx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详见附件：优化升级技术方案.docx</w:t>
      </w:r>
    </w:p>
    <w:p>
      <w:pPr>
        <w:pStyle w:val="null3"/>
        <w:ind w:firstLine="960"/>
      </w:pPr>
      <w:r>
        <w:rPr>
          <w:rFonts w:ascii="仿宋_GB2312" w:hAnsi="仿宋_GB2312" w:cs="仿宋_GB2312" w:eastAsia="仿宋_GB2312"/>
        </w:rPr>
        <w:t>详见附件：主要商务条款响应偏离表.docx</w:t>
      </w:r>
    </w:p>
    <w:p>
      <w:pPr>
        <w:pStyle w:val="null3"/>
        <w:ind w:firstLine="960"/>
      </w:pPr>
      <w:r>
        <w:rPr>
          <w:rFonts w:ascii="仿宋_GB2312" w:hAnsi="仿宋_GB2312" w:cs="仿宋_GB2312" w:eastAsia="仿宋_GB2312"/>
        </w:rPr>
        <w:t>详见附件：总体技术方案.docx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详见附件：开发技术方案.docx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详见附件：物联网关适配改造及数据接入方案.docx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