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73D9D5"/>
    <w:p w14:paraId="2D03B8B1">
      <w:pPr>
        <w:jc w:val="center"/>
        <w:rPr>
          <w:rFonts w:hint="default" w:eastAsiaTheme="minorEastAsia"/>
          <w:b/>
          <w:bCs/>
          <w:sz w:val="32"/>
          <w:szCs w:val="40"/>
          <w:lang w:val="en-US" w:eastAsia="zh-CN"/>
        </w:rPr>
      </w:pPr>
      <w:r>
        <w:rPr>
          <w:rFonts w:hint="eastAsia"/>
          <w:b/>
          <w:bCs/>
          <w:sz w:val="32"/>
          <w:szCs w:val="40"/>
          <w:lang w:val="en-US" w:eastAsia="zh-CN"/>
        </w:rPr>
        <w:t>2025年度重点项目绩效评价咨询服务项目</w:t>
      </w:r>
    </w:p>
    <w:p w14:paraId="5429D17C">
      <w:pPr>
        <w:jc w:val="center"/>
        <w:rPr>
          <w:rFonts w:ascii="宋体" w:hAnsi="宋体" w:eastAsia="宋体" w:cs="宋体"/>
          <w:b/>
          <w:bCs/>
          <w:sz w:val="28"/>
          <w:szCs w:val="28"/>
        </w:rPr>
      </w:pPr>
      <w:r>
        <w:rPr>
          <w:rFonts w:hint="eastAsia"/>
          <w:b/>
          <w:bCs/>
          <w:sz w:val="32"/>
          <w:szCs w:val="40"/>
        </w:rPr>
        <w:t>采购需求文件</w:t>
      </w:r>
    </w:p>
    <w:p w14:paraId="7522BA52">
      <w:pPr>
        <w:numPr>
          <w:ilvl w:val="0"/>
          <w:numId w:val="1"/>
        </w:numPr>
        <w:rPr>
          <w:rFonts w:ascii="宋体" w:hAnsi="宋体" w:eastAsia="宋体" w:cs="宋体"/>
          <w:b w:val="0"/>
          <w:bCs w:val="0"/>
          <w:sz w:val="28"/>
          <w:szCs w:val="28"/>
        </w:rPr>
      </w:pPr>
      <w:r>
        <w:rPr>
          <w:rFonts w:hint="eastAsia" w:ascii="宋体" w:hAnsi="宋体" w:eastAsia="宋体" w:cs="宋体"/>
          <w:b/>
          <w:bCs/>
          <w:sz w:val="28"/>
          <w:szCs w:val="28"/>
        </w:rPr>
        <w:t>采购项目名称：</w:t>
      </w:r>
      <w:r>
        <w:rPr>
          <w:rFonts w:hint="eastAsia" w:ascii="宋体" w:hAnsi="宋体" w:eastAsia="宋体" w:cs="宋体"/>
          <w:b w:val="0"/>
          <w:bCs w:val="0"/>
          <w:sz w:val="28"/>
          <w:szCs w:val="28"/>
          <w:lang w:val="en-US" w:eastAsia="zh-CN"/>
        </w:rPr>
        <w:t>2025年度重点项目绩效评价咨询服务项目</w:t>
      </w:r>
    </w:p>
    <w:p w14:paraId="3F7CC458">
      <w:pPr>
        <w:rPr>
          <w:rFonts w:ascii="宋体" w:hAnsi="宋体" w:eastAsia="宋体" w:cs="宋体"/>
          <w:sz w:val="28"/>
          <w:szCs w:val="28"/>
        </w:rPr>
      </w:pPr>
      <w:r>
        <w:rPr>
          <w:rFonts w:hint="eastAsia" w:ascii="宋体" w:hAnsi="宋体" w:eastAsia="宋体" w:cs="宋体"/>
          <w:b/>
          <w:bCs/>
          <w:sz w:val="28"/>
          <w:szCs w:val="28"/>
        </w:rPr>
        <w:t>二、采购项目预算、资金构成和采购方式：</w:t>
      </w:r>
    </w:p>
    <w:p w14:paraId="1B028F9E">
      <w:pPr>
        <w:rPr>
          <w:rFonts w:ascii="宋体" w:hAnsi="宋体" w:eastAsia="宋体" w:cs="宋体"/>
          <w:sz w:val="28"/>
          <w:szCs w:val="28"/>
        </w:rPr>
      </w:pPr>
      <w:r>
        <w:rPr>
          <w:rFonts w:hint="eastAsia" w:ascii="宋体" w:hAnsi="宋体" w:eastAsia="宋体" w:cs="宋体"/>
          <w:sz w:val="28"/>
          <w:szCs w:val="28"/>
        </w:rPr>
        <w:t>1、采购项目预算：（见上传附件）</w:t>
      </w:r>
    </w:p>
    <w:p w14:paraId="7AFEDCD0">
      <w:pPr>
        <w:rPr>
          <w:rFonts w:ascii="宋体" w:hAnsi="宋体" w:eastAsia="宋体" w:cs="宋体"/>
          <w:sz w:val="28"/>
          <w:szCs w:val="28"/>
        </w:rPr>
      </w:pPr>
      <w:r>
        <w:rPr>
          <w:rFonts w:hint="eastAsia" w:ascii="宋体" w:hAnsi="宋体" w:eastAsia="宋体" w:cs="宋体"/>
          <w:sz w:val="28"/>
          <w:szCs w:val="28"/>
        </w:rPr>
        <w:t>2、资金来源：2</w:t>
      </w:r>
      <w:r>
        <w:rPr>
          <w:rFonts w:ascii="宋体" w:hAnsi="宋体" w:eastAsia="宋体" w:cs="宋体"/>
          <w:sz w:val="28"/>
          <w:szCs w:val="28"/>
        </w:rPr>
        <w:t>02</w:t>
      </w:r>
      <w:r>
        <w:rPr>
          <w:rFonts w:hint="eastAsia" w:ascii="宋体" w:hAnsi="宋体" w:eastAsia="宋体" w:cs="宋体"/>
          <w:sz w:val="28"/>
          <w:szCs w:val="28"/>
          <w:lang w:val="en-US" w:eastAsia="zh-CN"/>
        </w:rPr>
        <w:t>5</w:t>
      </w:r>
      <w:r>
        <w:rPr>
          <w:rFonts w:hint="eastAsia" w:ascii="宋体" w:hAnsi="宋体" w:eastAsia="宋体" w:cs="宋体"/>
          <w:sz w:val="28"/>
          <w:szCs w:val="28"/>
        </w:rPr>
        <w:t>年县级财政预算</w:t>
      </w:r>
    </w:p>
    <w:p w14:paraId="5B9499BE">
      <w:pPr>
        <w:rPr>
          <w:rFonts w:ascii="宋体" w:hAnsi="宋体" w:eastAsia="宋体" w:cs="宋体"/>
          <w:sz w:val="28"/>
          <w:szCs w:val="28"/>
        </w:rPr>
      </w:pPr>
      <w:r>
        <w:rPr>
          <w:rFonts w:hint="eastAsia" w:ascii="宋体" w:hAnsi="宋体" w:eastAsia="宋体" w:cs="宋体"/>
          <w:sz w:val="28"/>
          <w:szCs w:val="28"/>
        </w:rPr>
        <w:t>3、价格信息来源：市场询价，咨询相关技术专家</w:t>
      </w:r>
    </w:p>
    <w:p w14:paraId="16B1D056">
      <w:pPr>
        <w:rPr>
          <w:rFonts w:ascii="宋体" w:hAnsi="宋体" w:eastAsia="宋体" w:cs="宋体"/>
          <w:sz w:val="28"/>
          <w:szCs w:val="28"/>
        </w:rPr>
      </w:pPr>
      <w:r>
        <w:rPr>
          <w:rFonts w:hint="eastAsia" w:ascii="宋体" w:hAnsi="宋体" w:eastAsia="宋体" w:cs="宋体"/>
          <w:sz w:val="28"/>
          <w:szCs w:val="28"/>
        </w:rPr>
        <w:t>4、采购方式：</w:t>
      </w:r>
      <w:r>
        <w:rPr>
          <w:rFonts w:hint="eastAsia" w:ascii="宋体" w:hAnsi="宋体" w:eastAsia="宋体" w:cs="宋体"/>
          <w:sz w:val="28"/>
          <w:szCs w:val="28"/>
          <w:lang w:eastAsia="zh-CN"/>
        </w:rPr>
        <w:t>部门</w:t>
      </w:r>
      <w:r>
        <w:rPr>
          <w:rFonts w:hint="eastAsia" w:ascii="宋体" w:hAnsi="宋体" w:eastAsia="宋体" w:cs="宋体"/>
          <w:sz w:val="28"/>
          <w:szCs w:val="28"/>
        </w:rPr>
        <w:t>采购</w:t>
      </w:r>
    </w:p>
    <w:p w14:paraId="21FB1118">
      <w:pPr>
        <w:rPr>
          <w:rFonts w:ascii="宋体" w:hAnsi="宋体" w:eastAsia="宋体" w:cs="宋体"/>
          <w:b/>
          <w:bCs/>
          <w:sz w:val="28"/>
          <w:szCs w:val="28"/>
        </w:rPr>
      </w:pPr>
      <w:r>
        <w:rPr>
          <w:rFonts w:hint="eastAsia" w:ascii="宋体" w:hAnsi="宋体" w:eastAsia="宋体" w:cs="宋体"/>
          <w:b/>
          <w:bCs/>
          <w:sz w:val="28"/>
          <w:szCs w:val="28"/>
        </w:rPr>
        <w:t>三、项目实施时间、地点、工程概况、履行期限及方式</w:t>
      </w:r>
    </w:p>
    <w:p w14:paraId="7260ED66">
      <w:pPr>
        <w:rPr>
          <w:rFonts w:ascii="宋体" w:hAnsi="宋体" w:eastAsia="宋体" w:cs="宋体"/>
          <w:b/>
          <w:bCs/>
          <w:sz w:val="28"/>
          <w:szCs w:val="28"/>
        </w:rPr>
      </w:pPr>
      <w:r>
        <w:rPr>
          <w:rFonts w:hint="eastAsia" w:ascii="宋体" w:hAnsi="宋体" w:eastAsia="宋体" w:cs="宋体"/>
          <w:b/>
          <w:bCs/>
          <w:sz w:val="28"/>
          <w:szCs w:val="28"/>
        </w:rPr>
        <w:t>1、项目实施时间：</w:t>
      </w:r>
      <w:r>
        <w:rPr>
          <w:rFonts w:hint="eastAsia" w:ascii="宋体" w:hAnsi="宋体" w:eastAsia="宋体" w:cs="宋体"/>
          <w:sz w:val="28"/>
          <w:szCs w:val="28"/>
        </w:rPr>
        <w:t>本</w:t>
      </w:r>
      <w:r>
        <w:rPr>
          <w:rFonts w:hint="eastAsia" w:ascii="宋体" w:hAnsi="宋体" w:eastAsia="宋体" w:cs="宋体"/>
          <w:sz w:val="28"/>
          <w:szCs w:val="28"/>
          <w:lang w:val="en-US" w:eastAsia="zh-CN"/>
        </w:rPr>
        <w:t>项目</w:t>
      </w:r>
      <w:r>
        <w:rPr>
          <w:rFonts w:hint="eastAsia" w:ascii="宋体" w:hAnsi="宋体" w:eastAsia="宋体" w:cs="宋体"/>
          <w:sz w:val="28"/>
          <w:szCs w:val="28"/>
        </w:rPr>
        <w:t>计划于202</w:t>
      </w:r>
      <w:r>
        <w:rPr>
          <w:rFonts w:hint="eastAsia" w:ascii="宋体" w:hAnsi="宋体" w:eastAsia="宋体" w:cs="宋体"/>
          <w:sz w:val="28"/>
          <w:szCs w:val="28"/>
          <w:lang w:val="en-US" w:eastAsia="zh-CN"/>
        </w:rPr>
        <w:t>6</w:t>
      </w:r>
      <w:r>
        <w:rPr>
          <w:rFonts w:hint="eastAsia" w:ascii="宋体" w:hAnsi="宋体" w:eastAsia="宋体" w:cs="宋体"/>
          <w:sz w:val="28"/>
          <w:szCs w:val="28"/>
        </w:rPr>
        <w:t>年</w:t>
      </w:r>
      <w:r>
        <w:rPr>
          <w:rFonts w:hint="eastAsia" w:ascii="宋体" w:hAnsi="宋体" w:eastAsia="宋体" w:cs="宋体"/>
          <w:sz w:val="28"/>
          <w:szCs w:val="28"/>
          <w:lang w:val="en-US" w:eastAsia="zh-CN"/>
        </w:rPr>
        <w:t>9</w:t>
      </w:r>
      <w:r>
        <w:rPr>
          <w:rFonts w:hint="eastAsia" w:ascii="宋体" w:hAnsi="宋体" w:eastAsia="宋体" w:cs="宋体"/>
          <w:sz w:val="28"/>
          <w:szCs w:val="28"/>
        </w:rPr>
        <w:t>月</w:t>
      </w:r>
      <w:r>
        <w:rPr>
          <w:rFonts w:hint="eastAsia" w:ascii="宋体" w:hAnsi="宋体" w:eastAsia="宋体" w:cs="宋体"/>
          <w:sz w:val="28"/>
          <w:szCs w:val="28"/>
          <w:lang w:val="en-US" w:eastAsia="zh-CN"/>
        </w:rPr>
        <w:t>初开始</w:t>
      </w:r>
      <w:r>
        <w:rPr>
          <w:rFonts w:hint="eastAsia" w:ascii="宋体" w:hAnsi="宋体" w:eastAsia="宋体" w:cs="宋体"/>
          <w:sz w:val="28"/>
          <w:szCs w:val="28"/>
        </w:rPr>
        <w:t>。</w:t>
      </w:r>
    </w:p>
    <w:p w14:paraId="0D92E85F">
      <w:pPr>
        <w:rPr>
          <w:rFonts w:ascii="宋体" w:hAnsi="宋体" w:eastAsia="宋体" w:cs="宋体"/>
          <w:sz w:val="28"/>
          <w:szCs w:val="28"/>
        </w:rPr>
      </w:pPr>
      <w:r>
        <w:rPr>
          <w:rFonts w:hint="eastAsia" w:ascii="宋体" w:hAnsi="宋体" w:eastAsia="宋体" w:cs="宋体"/>
          <w:b/>
          <w:bCs/>
          <w:sz w:val="28"/>
          <w:szCs w:val="28"/>
        </w:rPr>
        <w:t>2、项目实施地点：</w:t>
      </w:r>
      <w:r>
        <w:rPr>
          <w:rFonts w:hint="eastAsia" w:ascii="宋体" w:hAnsi="宋体" w:eastAsia="宋体" w:cs="宋体"/>
          <w:kern w:val="2"/>
          <w:sz w:val="28"/>
          <w:szCs w:val="28"/>
          <w:lang w:val="en-US" w:eastAsia="zh-CN" w:bidi="ar-SA"/>
        </w:rPr>
        <w:t>府谷县财政绩效评价中心及项目所在地。</w:t>
      </w:r>
    </w:p>
    <w:p w14:paraId="53CFF389">
      <w:pPr>
        <w:rPr>
          <w:rFonts w:hint="eastAsia" w:ascii="宋体" w:hAnsi="宋体" w:eastAsia="宋体" w:cs="宋体"/>
          <w:b/>
          <w:bCs/>
          <w:sz w:val="28"/>
          <w:szCs w:val="28"/>
        </w:rPr>
      </w:pPr>
      <w:r>
        <w:rPr>
          <w:rFonts w:hint="eastAsia" w:ascii="宋体" w:hAnsi="宋体" w:eastAsia="宋体" w:cs="宋体"/>
          <w:b/>
          <w:bCs/>
          <w:sz w:val="28"/>
          <w:szCs w:val="28"/>
        </w:rPr>
        <w:br w:type="page"/>
      </w:r>
    </w:p>
    <w:p w14:paraId="3CBE9A0F">
      <w:pPr>
        <w:spacing w:line="520" w:lineRule="exact"/>
        <w:rPr>
          <w:rFonts w:hint="eastAsia" w:ascii="宋体" w:hAnsi="宋体" w:eastAsia="宋体" w:cs="宋体"/>
          <w:b/>
          <w:bCs/>
          <w:sz w:val="28"/>
          <w:szCs w:val="28"/>
        </w:rPr>
        <w:sectPr>
          <w:pgSz w:w="11906" w:h="16838"/>
          <w:pgMar w:top="1440" w:right="1800" w:bottom="1440" w:left="1800" w:header="851" w:footer="992" w:gutter="0"/>
          <w:cols w:space="425" w:num="1"/>
          <w:docGrid w:type="lines" w:linePitch="312" w:charSpace="0"/>
        </w:sectPr>
      </w:pPr>
    </w:p>
    <w:p w14:paraId="72511986">
      <w:pPr>
        <w:spacing w:line="520" w:lineRule="exact"/>
        <w:rPr>
          <w:rFonts w:hint="eastAsia" w:ascii="宋体" w:hAnsi="宋体" w:eastAsia="宋体" w:cs="宋体"/>
          <w:b/>
          <w:bCs/>
          <w:sz w:val="28"/>
          <w:szCs w:val="28"/>
        </w:rPr>
      </w:pPr>
      <w:r>
        <w:rPr>
          <w:rFonts w:hint="eastAsia" w:ascii="宋体" w:hAnsi="宋体" w:eastAsia="宋体" w:cs="宋体"/>
          <w:b/>
          <w:bCs/>
          <w:sz w:val="28"/>
          <w:szCs w:val="28"/>
        </w:rPr>
        <w:t>3、</w:t>
      </w:r>
      <w:r>
        <w:rPr>
          <w:rFonts w:hint="eastAsia" w:ascii="宋体" w:hAnsi="宋体" w:eastAsia="宋体" w:cs="宋体"/>
          <w:b/>
          <w:bCs/>
          <w:sz w:val="28"/>
          <w:szCs w:val="28"/>
          <w:lang w:val="en-US" w:eastAsia="zh-CN"/>
        </w:rPr>
        <w:t>项目</w:t>
      </w:r>
      <w:r>
        <w:rPr>
          <w:rFonts w:hint="eastAsia" w:ascii="宋体" w:hAnsi="宋体" w:eastAsia="宋体" w:cs="宋体"/>
          <w:b/>
          <w:bCs/>
          <w:sz w:val="28"/>
          <w:szCs w:val="28"/>
        </w:rPr>
        <w:t>概况：</w:t>
      </w:r>
    </w:p>
    <w:tbl>
      <w:tblPr>
        <w:tblStyle w:val="7"/>
        <w:tblW w:w="14323"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02"/>
        <w:gridCol w:w="1010"/>
        <w:gridCol w:w="1561"/>
        <w:gridCol w:w="888"/>
        <w:gridCol w:w="1390"/>
        <w:gridCol w:w="843"/>
        <w:gridCol w:w="862"/>
        <w:gridCol w:w="887"/>
        <w:gridCol w:w="832"/>
        <w:gridCol w:w="832"/>
        <w:gridCol w:w="923"/>
        <w:gridCol w:w="793"/>
        <w:gridCol w:w="857"/>
        <w:gridCol w:w="921"/>
        <w:gridCol w:w="922"/>
      </w:tblGrid>
      <w:tr w14:paraId="267AA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14323" w:type="dxa"/>
            <w:gridSpan w:val="15"/>
            <w:shd w:val="clear" w:color="auto" w:fill="auto"/>
            <w:vAlign w:val="center"/>
          </w:tcPr>
          <w:p w14:paraId="33B86788">
            <w:pPr>
              <w:keepNext w:val="0"/>
              <w:keepLines w:val="0"/>
              <w:widowControl/>
              <w:suppressLineNumbers w:val="0"/>
              <w:tabs>
                <w:tab w:val="left" w:pos="6385"/>
              </w:tabs>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8"/>
                <w:szCs w:val="28"/>
                <w:u w:val="none"/>
                <w:lang w:val="en-US" w:eastAsia="zh-CN" w:bidi="ar"/>
              </w:rPr>
              <w:t>2025年度重点项目绩效评价咨询服务项目明细</w:t>
            </w:r>
          </w:p>
        </w:tc>
      </w:tr>
      <w:tr w14:paraId="6875A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0" w:hRule="atLeast"/>
        </w:trPr>
        <w:tc>
          <w:tcPr>
            <w:tcW w:w="802" w:type="dxa"/>
            <w:vMerge w:val="restart"/>
            <w:shd w:val="clear" w:color="auto" w:fill="auto"/>
            <w:vAlign w:val="center"/>
          </w:tcPr>
          <w:p w14:paraId="7A4D0CC2">
            <w:pPr>
              <w:keepNext w:val="0"/>
              <w:keepLines w:val="0"/>
              <w:widowControl/>
              <w:suppressLineNumbers w:val="0"/>
              <w:jc w:val="center"/>
              <w:textAlignment w:val="center"/>
              <w:rPr>
                <w:rFonts w:hint="default" w:ascii="宋体" w:hAnsi="宋体" w:eastAsia="宋体" w:cs="宋体"/>
                <w:b/>
                <w:bCs/>
                <w:i w:val="0"/>
                <w:iCs w:val="0"/>
                <w:color w:val="000000"/>
                <w:sz w:val="24"/>
                <w:szCs w:val="24"/>
                <w:u w:val="none"/>
                <w:lang w:val="en-US"/>
              </w:rPr>
            </w:pPr>
            <w:r>
              <w:rPr>
                <w:rFonts w:hint="eastAsia" w:ascii="宋体" w:hAnsi="宋体" w:eastAsia="宋体" w:cs="宋体"/>
                <w:b/>
                <w:bCs/>
                <w:i w:val="0"/>
                <w:iCs w:val="0"/>
                <w:color w:val="000000"/>
                <w:kern w:val="0"/>
                <w:sz w:val="24"/>
                <w:szCs w:val="24"/>
                <w:u w:val="none"/>
                <w:lang w:val="en-US" w:eastAsia="zh-CN" w:bidi="ar"/>
              </w:rPr>
              <w:t>标号及名称</w:t>
            </w:r>
          </w:p>
        </w:tc>
        <w:tc>
          <w:tcPr>
            <w:tcW w:w="1010" w:type="dxa"/>
            <w:vMerge w:val="restart"/>
            <w:shd w:val="clear" w:color="auto" w:fill="auto"/>
            <w:vAlign w:val="center"/>
          </w:tcPr>
          <w:p w14:paraId="7BBC607C">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部门</w:t>
            </w:r>
          </w:p>
          <w:p w14:paraId="037449A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1561" w:type="dxa"/>
            <w:vMerge w:val="restart"/>
            <w:shd w:val="clear" w:color="auto" w:fill="auto"/>
            <w:vAlign w:val="center"/>
          </w:tcPr>
          <w:p w14:paraId="12C21FD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项目名称</w:t>
            </w:r>
          </w:p>
        </w:tc>
        <w:tc>
          <w:tcPr>
            <w:tcW w:w="888" w:type="dxa"/>
            <w:vMerge w:val="restart"/>
            <w:shd w:val="clear" w:color="auto" w:fill="auto"/>
            <w:vAlign w:val="center"/>
          </w:tcPr>
          <w:p w14:paraId="5A90C11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下属单位项目点</w:t>
            </w:r>
          </w:p>
        </w:tc>
        <w:tc>
          <w:tcPr>
            <w:tcW w:w="1390" w:type="dxa"/>
            <w:vMerge w:val="restart"/>
            <w:shd w:val="clear" w:color="auto" w:fill="auto"/>
            <w:noWrap/>
            <w:vAlign w:val="center"/>
          </w:tcPr>
          <w:p w14:paraId="06D7764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人员配备</w:t>
            </w:r>
          </w:p>
        </w:tc>
        <w:tc>
          <w:tcPr>
            <w:tcW w:w="2592" w:type="dxa"/>
            <w:gridSpan w:val="3"/>
            <w:shd w:val="clear" w:color="auto" w:fill="auto"/>
            <w:vAlign w:val="center"/>
          </w:tcPr>
          <w:p w14:paraId="260E6C7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高级职称人员（元/天）</w:t>
            </w:r>
          </w:p>
        </w:tc>
        <w:tc>
          <w:tcPr>
            <w:tcW w:w="2587" w:type="dxa"/>
            <w:gridSpan w:val="3"/>
            <w:shd w:val="clear" w:color="auto" w:fill="auto"/>
            <w:vAlign w:val="center"/>
          </w:tcPr>
          <w:p w14:paraId="3972C35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中级职称人员（元/天）</w:t>
            </w:r>
          </w:p>
        </w:tc>
        <w:tc>
          <w:tcPr>
            <w:tcW w:w="2571" w:type="dxa"/>
            <w:gridSpan w:val="3"/>
            <w:shd w:val="clear" w:color="auto" w:fill="auto"/>
            <w:vAlign w:val="center"/>
          </w:tcPr>
          <w:p w14:paraId="467B6C7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初级职称人员（元/天）</w:t>
            </w:r>
          </w:p>
        </w:tc>
        <w:tc>
          <w:tcPr>
            <w:tcW w:w="922" w:type="dxa"/>
            <w:vMerge w:val="restart"/>
            <w:shd w:val="clear" w:color="auto" w:fill="auto"/>
            <w:noWrap/>
            <w:vAlign w:val="center"/>
          </w:tcPr>
          <w:p w14:paraId="5F5BE8A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报价总额</w:t>
            </w:r>
          </w:p>
        </w:tc>
      </w:tr>
      <w:tr w14:paraId="18595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0" w:hRule="atLeast"/>
        </w:trPr>
        <w:tc>
          <w:tcPr>
            <w:tcW w:w="802" w:type="dxa"/>
            <w:vMerge w:val="continue"/>
            <w:shd w:val="clear" w:color="auto" w:fill="auto"/>
            <w:vAlign w:val="center"/>
          </w:tcPr>
          <w:p w14:paraId="722FF86E">
            <w:pPr>
              <w:jc w:val="center"/>
              <w:rPr>
                <w:rFonts w:hint="eastAsia" w:ascii="宋体" w:hAnsi="宋体" w:eastAsia="宋体" w:cs="宋体"/>
                <w:b/>
                <w:bCs/>
                <w:i w:val="0"/>
                <w:iCs w:val="0"/>
                <w:color w:val="000000"/>
                <w:sz w:val="24"/>
                <w:szCs w:val="24"/>
                <w:u w:val="none"/>
              </w:rPr>
            </w:pPr>
          </w:p>
        </w:tc>
        <w:tc>
          <w:tcPr>
            <w:tcW w:w="1010" w:type="dxa"/>
            <w:vMerge w:val="continue"/>
            <w:shd w:val="clear" w:color="auto" w:fill="auto"/>
            <w:vAlign w:val="center"/>
          </w:tcPr>
          <w:p w14:paraId="16C80909">
            <w:pPr>
              <w:jc w:val="center"/>
              <w:rPr>
                <w:rFonts w:hint="eastAsia" w:ascii="宋体" w:hAnsi="宋体" w:eastAsia="宋体" w:cs="宋体"/>
                <w:b/>
                <w:bCs/>
                <w:i w:val="0"/>
                <w:iCs w:val="0"/>
                <w:color w:val="000000"/>
                <w:sz w:val="24"/>
                <w:szCs w:val="24"/>
                <w:u w:val="none"/>
              </w:rPr>
            </w:pPr>
          </w:p>
        </w:tc>
        <w:tc>
          <w:tcPr>
            <w:tcW w:w="1561" w:type="dxa"/>
            <w:vMerge w:val="continue"/>
            <w:shd w:val="clear" w:color="auto" w:fill="auto"/>
            <w:vAlign w:val="center"/>
          </w:tcPr>
          <w:p w14:paraId="7D456764">
            <w:pPr>
              <w:jc w:val="center"/>
              <w:rPr>
                <w:rFonts w:hint="eastAsia" w:ascii="宋体" w:hAnsi="宋体" w:eastAsia="宋体" w:cs="宋体"/>
                <w:b/>
                <w:bCs/>
                <w:i w:val="0"/>
                <w:iCs w:val="0"/>
                <w:color w:val="000000"/>
                <w:sz w:val="24"/>
                <w:szCs w:val="24"/>
                <w:u w:val="none"/>
              </w:rPr>
            </w:pPr>
          </w:p>
        </w:tc>
        <w:tc>
          <w:tcPr>
            <w:tcW w:w="888" w:type="dxa"/>
            <w:vMerge w:val="continue"/>
            <w:shd w:val="clear" w:color="auto" w:fill="auto"/>
            <w:vAlign w:val="center"/>
          </w:tcPr>
          <w:p w14:paraId="2E41FBD3">
            <w:pPr>
              <w:jc w:val="center"/>
              <w:rPr>
                <w:rFonts w:hint="eastAsia" w:ascii="宋体" w:hAnsi="宋体" w:eastAsia="宋体" w:cs="宋体"/>
                <w:b/>
                <w:bCs/>
                <w:i w:val="0"/>
                <w:iCs w:val="0"/>
                <w:color w:val="000000"/>
                <w:sz w:val="24"/>
                <w:szCs w:val="24"/>
                <w:u w:val="none"/>
              </w:rPr>
            </w:pPr>
          </w:p>
        </w:tc>
        <w:tc>
          <w:tcPr>
            <w:tcW w:w="1390" w:type="dxa"/>
            <w:vMerge w:val="continue"/>
            <w:shd w:val="clear" w:color="auto" w:fill="auto"/>
            <w:noWrap/>
            <w:vAlign w:val="center"/>
          </w:tcPr>
          <w:p w14:paraId="40D6F53B">
            <w:pPr>
              <w:jc w:val="center"/>
              <w:rPr>
                <w:rFonts w:hint="eastAsia" w:ascii="宋体" w:hAnsi="宋体" w:eastAsia="宋体" w:cs="宋体"/>
                <w:b/>
                <w:bCs/>
                <w:i w:val="0"/>
                <w:iCs w:val="0"/>
                <w:color w:val="000000"/>
                <w:sz w:val="24"/>
                <w:szCs w:val="24"/>
                <w:u w:val="none"/>
              </w:rPr>
            </w:pPr>
          </w:p>
        </w:tc>
        <w:tc>
          <w:tcPr>
            <w:tcW w:w="843" w:type="dxa"/>
            <w:shd w:val="clear" w:color="auto" w:fill="auto"/>
            <w:vAlign w:val="center"/>
          </w:tcPr>
          <w:p w14:paraId="558D286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工资标准</w:t>
            </w:r>
          </w:p>
        </w:tc>
        <w:tc>
          <w:tcPr>
            <w:tcW w:w="862" w:type="dxa"/>
            <w:shd w:val="clear" w:color="auto" w:fill="auto"/>
            <w:vAlign w:val="center"/>
          </w:tcPr>
          <w:p w14:paraId="7B83A39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工作天数</w:t>
            </w:r>
          </w:p>
        </w:tc>
        <w:tc>
          <w:tcPr>
            <w:tcW w:w="887" w:type="dxa"/>
            <w:shd w:val="clear" w:color="auto" w:fill="auto"/>
            <w:vAlign w:val="center"/>
          </w:tcPr>
          <w:p w14:paraId="757A5C1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工资合计</w:t>
            </w:r>
          </w:p>
        </w:tc>
        <w:tc>
          <w:tcPr>
            <w:tcW w:w="832" w:type="dxa"/>
            <w:shd w:val="clear" w:color="auto" w:fill="auto"/>
            <w:vAlign w:val="center"/>
          </w:tcPr>
          <w:p w14:paraId="736618D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工资标准</w:t>
            </w:r>
          </w:p>
        </w:tc>
        <w:tc>
          <w:tcPr>
            <w:tcW w:w="832" w:type="dxa"/>
            <w:shd w:val="clear" w:color="auto" w:fill="auto"/>
            <w:vAlign w:val="center"/>
          </w:tcPr>
          <w:p w14:paraId="156D71C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工作天数</w:t>
            </w:r>
          </w:p>
        </w:tc>
        <w:tc>
          <w:tcPr>
            <w:tcW w:w="923" w:type="dxa"/>
            <w:shd w:val="clear" w:color="auto" w:fill="auto"/>
            <w:vAlign w:val="center"/>
          </w:tcPr>
          <w:p w14:paraId="361A2BC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工资合计</w:t>
            </w:r>
          </w:p>
        </w:tc>
        <w:tc>
          <w:tcPr>
            <w:tcW w:w="793" w:type="dxa"/>
            <w:shd w:val="clear" w:color="auto" w:fill="auto"/>
            <w:vAlign w:val="center"/>
          </w:tcPr>
          <w:p w14:paraId="2CE9CF8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工资标准</w:t>
            </w:r>
          </w:p>
        </w:tc>
        <w:tc>
          <w:tcPr>
            <w:tcW w:w="857" w:type="dxa"/>
            <w:shd w:val="clear" w:color="auto" w:fill="auto"/>
            <w:vAlign w:val="center"/>
          </w:tcPr>
          <w:p w14:paraId="086FDEF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工作天数</w:t>
            </w:r>
          </w:p>
        </w:tc>
        <w:tc>
          <w:tcPr>
            <w:tcW w:w="921" w:type="dxa"/>
            <w:shd w:val="clear" w:color="auto" w:fill="auto"/>
            <w:vAlign w:val="center"/>
          </w:tcPr>
          <w:p w14:paraId="70F7302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工资合计</w:t>
            </w:r>
          </w:p>
        </w:tc>
        <w:tc>
          <w:tcPr>
            <w:tcW w:w="922" w:type="dxa"/>
            <w:vMerge w:val="continue"/>
            <w:shd w:val="clear" w:color="auto" w:fill="auto"/>
            <w:noWrap/>
            <w:vAlign w:val="center"/>
          </w:tcPr>
          <w:p w14:paraId="573A6F53">
            <w:pPr>
              <w:jc w:val="center"/>
              <w:rPr>
                <w:rFonts w:hint="eastAsia" w:ascii="宋体" w:hAnsi="宋体" w:eastAsia="宋体" w:cs="宋体"/>
                <w:b/>
                <w:bCs/>
                <w:i w:val="0"/>
                <w:iCs w:val="0"/>
                <w:color w:val="000000"/>
                <w:sz w:val="24"/>
                <w:szCs w:val="24"/>
                <w:u w:val="none"/>
              </w:rPr>
            </w:pPr>
          </w:p>
        </w:tc>
      </w:tr>
      <w:tr w14:paraId="45F58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68" w:hRule="atLeast"/>
        </w:trPr>
        <w:tc>
          <w:tcPr>
            <w:tcW w:w="802" w:type="dxa"/>
            <w:vMerge w:val="restart"/>
            <w:shd w:val="clear" w:color="auto" w:fill="auto"/>
            <w:noWrap/>
            <w:vAlign w:val="center"/>
          </w:tcPr>
          <w:p w14:paraId="78B4E0CF">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第一包：农健融合示范提升项目</w:t>
            </w:r>
          </w:p>
        </w:tc>
        <w:tc>
          <w:tcPr>
            <w:tcW w:w="1010" w:type="dxa"/>
            <w:shd w:val="clear" w:color="auto" w:fill="auto"/>
            <w:vAlign w:val="center"/>
          </w:tcPr>
          <w:p w14:paraId="6660A6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教体局</w:t>
            </w:r>
          </w:p>
        </w:tc>
        <w:tc>
          <w:tcPr>
            <w:tcW w:w="1561" w:type="dxa"/>
            <w:shd w:val="clear" w:color="auto" w:fill="auto"/>
            <w:vAlign w:val="center"/>
          </w:tcPr>
          <w:p w14:paraId="3E7942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全民健身中心项目</w:t>
            </w:r>
          </w:p>
        </w:tc>
        <w:tc>
          <w:tcPr>
            <w:tcW w:w="888" w:type="dxa"/>
            <w:shd w:val="clear" w:color="auto" w:fill="auto"/>
            <w:vAlign w:val="center"/>
          </w:tcPr>
          <w:p w14:paraId="3F786C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390" w:type="dxa"/>
            <w:shd w:val="clear" w:color="auto" w:fill="auto"/>
            <w:vAlign w:val="center"/>
          </w:tcPr>
          <w:p w14:paraId="66248C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1名高级，1名中级、2名初级</w:t>
            </w:r>
          </w:p>
        </w:tc>
        <w:tc>
          <w:tcPr>
            <w:tcW w:w="843" w:type="dxa"/>
            <w:shd w:val="clear" w:color="auto" w:fill="auto"/>
            <w:vAlign w:val="center"/>
          </w:tcPr>
          <w:p w14:paraId="590C03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w:t>
            </w:r>
          </w:p>
        </w:tc>
        <w:tc>
          <w:tcPr>
            <w:tcW w:w="862" w:type="dxa"/>
            <w:shd w:val="clear" w:color="auto" w:fill="auto"/>
            <w:vAlign w:val="center"/>
          </w:tcPr>
          <w:p w14:paraId="54FC1D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887" w:type="dxa"/>
            <w:shd w:val="clear" w:color="auto" w:fill="auto"/>
            <w:vAlign w:val="center"/>
          </w:tcPr>
          <w:p w14:paraId="40660E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9600</w:t>
            </w:r>
          </w:p>
        </w:tc>
        <w:tc>
          <w:tcPr>
            <w:tcW w:w="832" w:type="dxa"/>
            <w:shd w:val="clear" w:color="auto" w:fill="auto"/>
            <w:vAlign w:val="center"/>
          </w:tcPr>
          <w:p w14:paraId="315F26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600</w:t>
            </w:r>
          </w:p>
        </w:tc>
        <w:tc>
          <w:tcPr>
            <w:tcW w:w="832" w:type="dxa"/>
            <w:shd w:val="clear" w:color="auto" w:fill="auto"/>
            <w:vAlign w:val="center"/>
          </w:tcPr>
          <w:p w14:paraId="6B8460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923" w:type="dxa"/>
            <w:shd w:val="clear" w:color="auto" w:fill="auto"/>
            <w:vAlign w:val="center"/>
          </w:tcPr>
          <w:p w14:paraId="4BDBAF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15600</w:t>
            </w:r>
          </w:p>
        </w:tc>
        <w:tc>
          <w:tcPr>
            <w:tcW w:w="793" w:type="dxa"/>
            <w:shd w:val="clear" w:color="auto" w:fill="auto"/>
            <w:vAlign w:val="center"/>
          </w:tcPr>
          <w:p w14:paraId="604883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w:t>
            </w:r>
          </w:p>
        </w:tc>
        <w:tc>
          <w:tcPr>
            <w:tcW w:w="857" w:type="dxa"/>
            <w:shd w:val="clear" w:color="auto" w:fill="auto"/>
            <w:vAlign w:val="center"/>
          </w:tcPr>
          <w:p w14:paraId="5B6AC1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921" w:type="dxa"/>
            <w:shd w:val="clear" w:color="auto" w:fill="auto"/>
            <w:vAlign w:val="center"/>
          </w:tcPr>
          <w:p w14:paraId="322934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22400</w:t>
            </w:r>
          </w:p>
        </w:tc>
        <w:tc>
          <w:tcPr>
            <w:tcW w:w="922" w:type="dxa"/>
            <w:shd w:val="clear" w:color="auto" w:fill="auto"/>
            <w:noWrap/>
            <w:vAlign w:val="center"/>
          </w:tcPr>
          <w:p w14:paraId="7EF8D8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47600</w:t>
            </w:r>
          </w:p>
        </w:tc>
      </w:tr>
      <w:tr w14:paraId="4CBBE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8" w:hRule="atLeast"/>
        </w:trPr>
        <w:tc>
          <w:tcPr>
            <w:tcW w:w="802" w:type="dxa"/>
            <w:vMerge w:val="continue"/>
            <w:shd w:val="clear" w:color="auto" w:fill="auto"/>
            <w:noWrap/>
            <w:vAlign w:val="center"/>
          </w:tcPr>
          <w:p w14:paraId="385F925F">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p>
        </w:tc>
        <w:tc>
          <w:tcPr>
            <w:tcW w:w="1010" w:type="dxa"/>
            <w:shd w:val="clear" w:color="auto" w:fill="auto"/>
            <w:vAlign w:val="center"/>
          </w:tcPr>
          <w:p w14:paraId="752D66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农业示范区管委会</w:t>
            </w:r>
          </w:p>
        </w:tc>
        <w:tc>
          <w:tcPr>
            <w:tcW w:w="1561" w:type="dxa"/>
            <w:shd w:val="clear" w:color="auto" w:fill="auto"/>
            <w:vAlign w:val="center"/>
          </w:tcPr>
          <w:p w14:paraId="7D8A2F7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现代农业产业试验示范种植和品牌质量营销提升项目</w:t>
            </w:r>
          </w:p>
        </w:tc>
        <w:tc>
          <w:tcPr>
            <w:tcW w:w="888" w:type="dxa"/>
            <w:shd w:val="clear" w:color="auto" w:fill="auto"/>
            <w:vAlign w:val="center"/>
          </w:tcPr>
          <w:p w14:paraId="4EF340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390" w:type="dxa"/>
            <w:shd w:val="clear" w:color="auto" w:fill="auto"/>
            <w:vAlign w:val="center"/>
          </w:tcPr>
          <w:p w14:paraId="78F7FF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1名高级，1名中级、2名初级</w:t>
            </w:r>
          </w:p>
        </w:tc>
        <w:tc>
          <w:tcPr>
            <w:tcW w:w="843" w:type="dxa"/>
            <w:shd w:val="clear" w:color="auto" w:fill="auto"/>
            <w:vAlign w:val="center"/>
          </w:tcPr>
          <w:p w14:paraId="7A742E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w:t>
            </w:r>
          </w:p>
        </w:tc>
        <w:tc>
          <w:tcPr>
            <w:tcW w:w="862" w:type="dxa"/>
            <w:shd w:val="clear" w:color="auto" w:fill="auto"/>
            <w:vAlign w:val="center"/>
          </w:tcPr>
          <w:p w14:paraId="5B75E0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887" w:type="dxa"/>
            <w:shd w:val="clear" w:color="auto" w:fill="auto"/>
            <w:vAlign w:val="center"/>
          </w:tcPr>
          <w:p w14:paraId="20142B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8000</w:t>
            </w:r>
          </w:p>
        </w:tc>
        <w:tc>
          <w:tcPr>
            <w:tcW w:w="832" w:type="dxa"/>
            <w:shd w:val="clear" w:color="auto" w:fill="auto"/>
            <w:vAlign w:val="center"/>
          </w:tcPr>
          <w:p w14:paraId="7CE457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600</w:t>
            </w:r>
          </w:p>
        </w:tc>
        <w:tc>
          <w:tcPr>
            <w:tcW w:w="832" w:type="dxa"/>
            <w:shd w:val="clear" w:color="auto" w:fill="auto"/>
            <w:vAlign w:val="center"/>
          </w:tcPr>
          <w:p w14:paraId="453F2E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923" w:type="dxa"/>
            <w:shd w:val="clear" w:color="auto" w:fill="auto"/>
            <w:vAlign w:val="center"/>
          </w:tcPr>
          <w:p w14:paraId="3B8EF5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13800</w:t>
            </w:r>
          </w:p>
        </w:tc>
        <w:tc>
          <w:tcPr>
            <w:tcW w:w="793" w:type="dxa"/>
            <w:shd w:val="clear" w:color="auto" w:fill="auto"/>
            <w:vAlign w:val="center"/>
          </w:tcPr>
          <w:p w14:paraId="7E8070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w:t>
            </w:r>
          </w:p>
        </w:tc>
        <w:tc>
          <w:tcPr>
            <w:tcW w:w="857" w:type="dxa"/>
            <w:shd w:val="clear" w:color="auto" w:fill="auto"/>
            <w:vAlign w:val="center"/>
          </w:tcPr>
          <w:p w14:paraId="27A8A4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921" w:type="dxa"/>
            <w:shd w:val="clear" w:color="auto" w:fill="auto"/>
            <w:vAlign w:val="center"/>
          </w:tcPr>
          <w:p w14:paraId="45430D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19200</w:t>
            </w:r>
          </w:p>
        </w:tc>
        <w:tc>
          <w:tcPr>
            <w:tcW w:w="922" w:type="dxa"/>
            <w:shd w:val="clear" w:color="auto" w:fill="auto"/>
            <w:noWrap/>
            <w:vAlign w:val="center"/>
          </w:tcPr>
          <w:p w14:paraId="5AB6D5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41000</w:t>
            </w:r>
          </w:p>
        </w:tc>
      </w:tr>
      <w:tr w14:paraId="34320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93" w:hRule="atLeast"/>
        </w:trPr>
        <w:tc>
          <w:tcPr>
            <w:tcW w:w="802" w:type="dxa"/>
            <w:shd w:val="clear" w:color="auto" w:fill="auto"/>
            <w:vAlign w:val="center"/>
          </w:tcPr>
          <w:p w14:paraId="23E7616A">
            <w:pP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合计</w:t>
            </w:r>
          </w:p>
        </w:tc>
        <w:tc>
          <w:tcPr>
            <w:tcW w:w="1010" w:type="dxa"/>
            <w:shd w:val="clear" w:color="auto" w:fill="auto"/>
            <w:vAlign w:val="center"/>
          </w:tcPr>
          <w:p w14:paraId="2AE68C9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人民币大写</w:t>
            </w:r>
          </w:p>
        </w:tc>
        <w:tc>
          <w:tcPr>
            <w:tcW w:w="3839" w:type="dxa"/>
            <w:gridSpan w:val="3"/>
            <w:shd w:val="clear" w:color="auto" w:fill="auto"/>
            <w:vAlign w:val="center"/>
          </w:tcPr>
          <w:p w14:paraId="34C7AD9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捌万捌仟陆佰元整</w:t>
            </w:r>
          </w:p>
        </w:tc>
        <w:tc>
          <w:tcPr>
            <w:tcW w:w="843" w:type="dxa"/>
            <w:shd w:val="clear" w:color="auto" w:fill="auto"/>
            <w:vAlign w:val="center"/>
          </w:tcPr>
          <w:p w14:paraId="2F177663">
            <w:pPr>
              <w:jc w:val="center"/>
              <w:rPr>
                <w:rFonts w:hint="eastAsia" w:ascii="宋体" w:hAnsi="宋体" w:eastAsia="宋体" w:cs="宋体"/>
                <w:b/>
                <w:bCs/>
                <w:i w:val="0"/>
                <w:iCs w:val="0"/>
                <w:color w:val="000000"/>
                <w:sz w:val="22"/>
                <w:szCs w:val="22"/>
                <w:u w:val="none"/>
              </w:rPr>
            </w:pPr>
          </w:p>
        </w:tc>
        <w:tc>
          <w:tcPr>
            <w:tcW w:w="862" w:type="dxa"/>
            <w:shd w:val="clear" w:color="auto" w:fill="auto"/>
            <w:vAlign w:val="center"/>
          </w:tcPr>
          <w:p w14:paraId="7904899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22</w:t>
            </w:r>
          </w:p>
        </w:tc>
        <w:tc>
          <w:tcPr>
            <w:tcW w:w="887" w:type="dxa"/>
            <w:shd w:val="clear" w:color="auto" w:fill="auto"/>
            <w:vAlign w:val="center"/>
          </w:tcPr>
          <w:p w14:paraId="5415713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17600</w:t>
            </w:r>
          </w:p>
        </w:tc>
        <w:tc>
          <w:tcPr>
            <w:tcW w:w="832" w:type="dxa"/>
            <w:shd w:val="clear" w:color="auto" w:fill="auto"/>
            <w:vAlign w:val="center"/>
          </w:tcPr>
          <w:p w14:paraId="4183A282">
            <w:pPr>
              <w:jc w:val="center"/>
              <w:rPr>
                <w:rFonts w:hint="eastAsia" w:ascii="宋体" w:hAnsi="宋体" w:eastAsia="宋体" w:cs="宋体"/>
                <w:b/>
                <w:bCs/>
                <w:i w:val="0"/>
                <w:iCs w:val="0"/>
                <w:color w:val="000000"/>
                <w:sz w:val="24"/>
                <w:szCs w:val="24"/>
                <w:u w:val="none"/>
              </w:rPr>
            </w:pPr>
          </w:p>
        </w:tc>
        <w:tc>
          <w:tcPr>
            <w:tcW w:w="832" w:type="dxa"/>
            <w:shd w:val="clear" w:color="auto" w:fill="auto"/>
            <w:vAlign w:val="center"/>
          </w:tcPr>
          <w:p w14:paraId="594B1A1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49</w:t>
            </w:r>
          </w:p>
        </w:tc>
        <w:tc>
          <w:tcPr>
            <w:tcW w:w="923" w:type="dxa"/>
            <w:shd w:val="clear" w:color="auto" w:fill="auto"/>
            <w:vAlign w:val="center"/>
          </w:tcPr>
          <w:p w14:paraId="0B4EDB1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29400</w:t>
            </w:r>
          </w:p>
        </w:tc>
        <w:tc>
          <w:tcPr>
            <w:tcW w:w="793" w:type="dxa"/>
            <w:shd w:val="clear" w:color="auto" w:fill="auto"/>
            <w:vAlign w:val="center"/>
          </w:tcPr>
          <w:p w14:paraId="64F86941">
            <w:pPr>
              <w:jc w:val="center"/>
              <w:rPr>
                <w:rFonts w:hint="eastAsia" w:ascii="宋体" w:hAnsi="宋体" w:eastAsia="宋体" w:cs="宋体"/>
                <w:b/>
                <w:bCs/>
                <w:i w:val="0"/>
                <w:iCs w:val="0"/>
                <w:color w:val="000000"/>
                <w:sz w:val="24"/>
                <w:szCs w:val="24"/>
                <w:u w:val="none"/>
              </w:rPr>
            </w:pPr>
          </w:p>
        </w:tc>
        <w:tc>
          <w:tcPr>
            <w:tcW w:w="857" w:type="dxa"/>
            <w:shd w:val="clear" w:color="auto" w:fill="auto"/>
            <w:vAlign w:val="center"/>
          </w:tcPr>
          <w:p w14:paraId="369BBEA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52</w:t>
            </w:r>
          </w:p>
        </w:tc>
        <w:tc>
          <w:tcPr>
            <w:tcW w:w="921" w:type="dxa"/>
            <w:shd w:val="clear" w:color="auto" w:fill="auto"/>
            <w:vAlign w:val="center"/>
          </w:tcPr>
          <w:p w14:paraId="2FE6FA9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41600</w:t>
            </w:r>
          </w:p>
        </w:tc>
        <w:tc>
          <w:tcPr>
            <w:tcW w:w="922" w:type="dxa"/>
            <w:shd w:val="clear" w:color="auto" w:fill="auto"/>
            <w:noWrap/>
            <w:vAlign w:val="center"/>
          </w:tcPr>
          <w:p w14:paraId="6B72733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88600</w:t>
            </w:r>
          </w:p>
        </w:tc>
      </w:tr>
      <w:tr w14:paraId="6E25B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81" w:hRule="atLeast"/>
        </w:trPr>
        <w:tc>
          <w:tcPr>
            <w:tcW w:w="802" w:type="dxa"/>
            <w:vMerge w:val="restart"/>
            <w:shd w:val="clear" w:color="auto" w:fill="auto"/>
            <w:noWrap/>
            <w:vAlign w:val="center"/>
          </w:tcPr>
          <w:p w14:paraId="681EF513">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第二包：光伏教育融合提质项目</w:t>
            </w:r>
          </w:p>
        </w:tc>
        <w:tc>
          <w:tcPr>
            <w:tcW w:w="1010" w:type="dxa"/>
            <w:shd w:val="clear" w:color="auto" w:fill="auto"/>
            <w:vAlign w:val="center"/>
          </w:tcPr>
          <w:p w14:paraId="2CAE0F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农业农村局</w:t>
            </w:r>
          </w:p>
        </w:tc>
        <w:tc>
          <w:tcPr>
            <w:tcW w:w="1561" w:type="dxa"/>
            <w:shd w:val="clear" w:color="auto" w:fill="auto"/>
            <w:vAlign w:val="center"/>
          </w:tcPr>
          <w:p w14:paraId="04A266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千村光伏示范二期</w:t>
            </w:r>
          </w:p>
        </w:tc>
        <w:tc>
          <w:tcPr>
            <w:tcW w:w="888" w:type="dxa"/>
            <w:shd w:val="clear" w:color="auto" w:fill="auto"/>
            <w:vAlign w:val="center"/>
          </w:tcPr>
          <w:p w14:paraId="444AC8FC">
            <w:pPr>
              <w:jc w:val="center"/>
              <w:rPr>
                <w:rFonts w:hint="eastAsia" w:ascii="宋体" w:hAnsi="宋体" w:eastAsia="宋体" w:cs="宋体"/>
                <w:i w:val="0"/>
                <w:iCs w:val="0"/>
                <w:color w:val="000000"/>
                <w:sz w:val="24"/>
                <w:szCs w:val="24"/>
                <w:u w:val="none"/>
              </w:rPr>
            </w:pPr>
          </w:p>
        </w:tc>
        <w:tc>
          <w:tcPr>
            <w:tcW w:w="1390" w:type="dxa"/>
            <w:shd w:val="clear" w:color="auto" w:fill="auto"/>
            <w:vAlign w:val="center"/>
          </w:tcPr>
          <w:p w14:paraId="4D37AB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1名高级，1名中级、1名初级</w:t>
            </w:r>
          </w:p>
        </w:tc>
        <w:tc>
          <w:tcPr>
            <w:tcW w:w="843" w:type="dxa"/>
            <w:shd w:val="clear" w:color="auto" w:fill="auto"/>
            <w:vAlign w:val="center"/>
          </w:tcPr>
          <w:p w14:paraId="5F87F6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w:t>
            </w:r>
          </w:p>
        </w:tc>
        <w:tc>
          <w:tcPr>
            <w:tcW w:w="862" w:type="dxa"/>
            <w:shd w:val="clear" w:color="auto" w:fill="auto"/>
            <w:vAlign w:val="center"/>
          </w:tcPr>
          <w:p w14:paraId="0EF1AC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887" w:type="dxa"/>
            <w:shd w:val="clear" w:color="auto" w:fill="auto"/>
            <w:vAlign w:val="center"/>
          </w:tcPr>
          <w:p w14:paraId="4C3205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14400</w:t>
            </w:r>
          </w:p>
        </w:tc>
        <w:tc>
          <w:tcPr>
            <w:tcW w:w="832" w:type="dxa"/>
            <w:shd w:val="clear" w:color="auto" w:fill="auto"/>
            <w:vAlign w:val="center"/>
          </w:tcPr>
          <w:p w14:paraId="746ADA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600</w:t>
            </w:r>
          </w:p>
        </w:tc>
        <w:tc>
          <w:tcPr>
            <w:tcW w:w="832" w:type="dxa"/>
            <w:shd w:val="clear" w:color="auto" w:fill="auto"/>
            <w:vAlign w:val="center"/>
          </w:tcPr>
          <w:p w14:paraId="6A3028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923" w:type="dxa"/>
            <w:shd w:val="clear" w:color="auto" w:fill="auto"/>
            <w:vAlign w:val="center"/>
          </w:tcPr>
          <w:p w14:paraId="7A88B0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13200</w:t>
            </w:r>
          </w:p>
        </w:tc>
        <w:tc>
          <w:tcPr>
            <w:tcW w:w="793" w:type="dxa"/>
            <w:shd w:val="clear" w:color="auto" w:fill="auto"/>
            <w:vAlign w:val="center"/>
          </w:tcPr>
          <w:p w14:paraId="6F950E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w:t>
            </w:r>
          </w:p>
        </w:tc>
        <w:tc>
          <w:tcPr>
            <w:tcW w:w="857" w:type="dxa"/>
            <w:shd w:val="clear" w:color="auto" w:fill="auto"/>
            <w:vAlign w:val="center"/>
          </w:tcPr>
          <w:p w14:paraId="357470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921" w:type="dxa"/>
            <w:shd w:val="clear" w:color="auto" w:fill="auto"/>
            <w:vAlign w:val="center"/>
          </w:tcPr>
          <w:p w14:paraId="611E1B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20000</w:t>
            </w:r>
          </w:p>
        </w:tc>
        <w:tc>
          <w:tcPr>
            <w:tcW w:w="922" w:type="dxa"/>
            <w:shd w:val="clear" w:color="auto" w:fill="auto"/>
            <w:noWrap/>
            <w:vAlign w:val="center"/>
          </w:tcPr>
          <w:p w14:paraId="5A4BB9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47600</w:t>
            </w:r>
          </w:p>
        </w:tc>
      </w:tr>
      <w:tr w14:paraId="2E546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81" w:hRule="atLeast"/>
        </w:trPr>
        <w:tc>
          <w:tcPr>
            <w:tcW w:w="802" w:type="dxa"/>
            <w:vMerge w:val="continue"/>
            <w:shd w:val="clear" w:color="auto" w:fill="auto"/>
            <w:noWrap/>
            <w:vAlign w:val="center"/>
          </w:tcPr>
          <w:p w14:paraId="2641E33A">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p>
        </w:tc>
        <w:tc>
          <w:tcPr>
            <w:tcW w:w="1010" w:type="dxa"/>
            <w:shd w:val="clear" w:color="auto" w:fill="auto"/>
            <w:vAlign w:val="center"/>
          </w:tcPr>
          <w:p w14:paraId="14209C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教体局</w:t>
            </w:r>
          </w:p>
        </w:tc>
        <w:tc>
          <w:tcPr>
            <w:tcW w:w="1561" w:type="dxa"/>
            <w:shd w:val="clear" w:color="auto" w:fill="auto"/>
            <w:vAlign w:val="center"/>
          </w:tcPr>
          <w:p w14:paraId="79B1BD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府中名校建设</w:t>
            </w:r>
          </w:p>
        </w:tc>
        <w:tc>
          <w:tcPr>
            <w:tcW w:w="888" w:type="dxa"/>
            <w:shd w:val="clear" w:color="auto" w:fill="auto"/>
            <w:vAlign w:val="center"/>
          </w:tcPr>
          <w:p w14:paraId="21CA8A2A">
            <w:pPr>
              <w:jc w:val="center"/>
              <w:rPr>
                <w:rFonts w:hint="eastAsia" w:ascii="宋体" w:hAnsi="宋体" w:eastAsia="宋体" w:cs="宋体"/>
                <w:i w:val="0"/>
                <w:iCs w:val="0"/>
                <w:color w:val="000000"/>
                <w:sz w:val="24"/>
                <w:szCs w:val="24"/>
                <w:u w:val="none"/>
              </w:rPr>
            </w:pPr>
          </w:p>
        </w:tc>
        <w:tc>
          <w:tcPr>
            <w:tcW w:w="1390" w:type="dxa"/>
            <w:shd w:val="clear" w:color="auto" w:fill="auto"/>
            <w:vAlign w:val="center"/>
          </w:tcPr>
          <w:p w14:paraId="18E978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1名高级，1名中级、1名初级</w:t>
            </w:r>
          </w:p>
        </w:tc>
        <w:tc>
          <w:tcPr>
            <w:tcW w:w="843" w:type="dxa"/>
            <w:shd w:val="clear" w:color="auto" w:fill="auto"/>
            <w:vAlign w:val="center"/>
          </w:tcPr>
          <w:p w14:paraId="5199AD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w:t>
            </w:r>
          </w:p>
        </w:tc>
        <w:tc>
          <w:tcPr>
            <w:tcW w:w="862" w:type="dxa"/>
            <w:shd w:val="clear" w:color="auto" w:fill="auto"/>
            <w:vAlign w:val="center"/>
          </w:tcPr>
          <w:p w14:paraId="25B474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887" w:type="dxa"/>
            <w:shd w:val="clear" w:color="auto" w:fill="auto"/>
            <w:vAlign w:val="center"/>
          </w:tcPr>
          <w:p w14:paraId="62654C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12000</w:t>
            </w:r>
          </w:p>
        </w:tc>
        <w:tc>
          <w:tcPr>
            <w:tcW w:w="832" w:type="dxa"/>
            <w:shd w:val="clear" w:color="auto" w:fill="auto"/>
            <w:vAlign w:val="center"/>
          </w:tcPr>
          <w:p w14:paraId="4A13E2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600</w:t>
            </w:r>
          </w:p>
        </w:tc>
        <w:tc>
          <w:tcPr>
            <w:tcW w:w="832" w:type="dxa"/>
            <w:shd w:val="clear" w:color="auto" w:fill="auto"/>
            <w:vAlign w:val="center"/>
          </w:tcPr>
          <w:p w14:paraId="64CDE5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923" w:type="dxa"/>
            <w:shd w:val="clear" w:color="auto" w:fill="auto"/>
            <w:vAlign w:val="center"/>
          </w:tcPr>
          <w:p w14:paraId="2592FA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12000</w:t>
            </w:r>
          </w:p>
        </w:tc>
        <w:tc>
          <w:tcPr>
            <w:tcW w:w="793" w:type="dxa"/>
            <w:shd w:val="clear" w:color="auto" w:fill="auto"/>
            <w:vAlign w:val="center"/>
          </w:tcPr>
          <w:p w14:paraId="4BDA55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w:t>
            </w:r>
          </w:p>
        </w:tc>
        <w:tc>
          <w:tcPr>
            <w:tcW w:w="857" w:type="dxa"/>
            <w:shd w:val="clear" w:color="auto" w:fill="auto"/>
            <w:vAlign w:val="center"/>
          </w:tcPr>
          <w:p w14:paraId="2B154A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w:t>
            </w:r>
          </w:p>
        </w:tc>
        <w:tc>
          <w:tcPr>
            <w:tcW w:w="921" w:type="dxa"/>
            <w:shd w:val="clear" w:color="auto" w:fill="auto"/>
            <w:vAlign w:val="center"/>
          </w:tcPr>
          <w:p w14:paraId="137037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18000</w:t>
            </w:r>
          </w:p>
        </w:tc>
        <w:tc>
          <w:tcPr>
            <w:tcW w:w="922" w:type="dxa"/>
            <w:shd w:val="clear" w:color="auto" w:fill="auto"/>
            <w:noWrap/>
            <w:vAlign w:val="center"/>
          </w:tcPr>
          <w:p w14:paraId="609F23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42000</w:t>
            </w:r>
          </w:p>
        </w:tc>
      </w:tr>
      <w:tr w14:paraId="236C0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81" w:hRule="atLeast"/>
        </w:trPr>
        <w:tc>
          <w:tcPr>
            <w:tcW w:w="802" w:type="dxa"/>
            <w:shd w:val="clear" w:color="auto" w:fill="auto"/>
            <w:vAlign w:val="center"/>
          </w:tcPr>
          <w:p w14:paraId="35B07F95">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rPr>
              <w:t>合计</w:t>
            </w:r>
          </w:p>
        </w:tc>
        <w:tc>
          <w:tcPr>
            <w:tcW w:w="1010" w:type="dxa"/>
            <w:shd w:val="clear" w:color="auto" w:fill="auto"/>
            <w:vAlign w:val="center"/>
          </w:tcPr>
          <w:p w14:paraId="738B361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人民币大写</w:t>
            </w:r>
          </w:p>
        </w:tc>
        <w:tc>
          <w:tcPr>
            <w:tcW w:w="3839" w:type="dxa"/>
            <w:gridSpan w:val="3"/>
            <w:shd w:val="clear" w:color="auto" w:fill="auto"/>
            <w:vAlign w:val="center"/>
          </w:tcPr>
          <w:p w14:paraId="3929C71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捌万玖仟陆佰元整</w:t>
            </w:r>
          </w:p>
        </w:tc>
        <w:tc>
          <w:tcPr>
            <w:tcW w:w="843" w:type="dxa"/>
            <w:shd w:val="clear" w:color="auto" w:fill="auto"/>
            <w:vAlign w:val="center"/>
          </w:tcPr>
          <w:p w14:paraId="799CB129">
            <w:pPr>
              <w:jc w:val="center"/>
              <w:rPr>
                <w:rFonts w:hint="eastAsia" w:ascii="宋体" w:hAnsi="宋体" w:eastAsia="宋体" w:cs="宋体"/>
                <w:b/>
                <w:bCs/>
                <w:i w:val="0"/>
                <w:iCs w:val="0"/>
                <w:color w:val="000000"/>
                <w:sz w:val="22"/>
                <w:szCs w:val="22"/>
                <w:u w:val="none"/>
              </w:rPr>
            </w:pPr>
          </w:p>
        </w:tc>
        <w:tc>
          <w:tcPr>
            <w:tcW w:w="862" w:type="dxa"/>
            <w:shd w:val="clear" w:color="auto" w:fill="auto"/>
            <w:vAlign w:val="center"/>
          </w:tcPr>
          <w:p w14:paraId="3AA448E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33</w:t>
            </w:r>
          </w:p>
        </w:tc>
        <w:tc>
          <w:tcPr>
            <w:tcW w:w="887" w:type="dxa"/>
            <w:shd w:val="clear" w:color="auto" w:fill="auto"/>
            <w:vAlign w:val="center"/>
          </w:tcPr>
          <w:p w14:paraId="47C2C9A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26400</w:t>
            </w:r>
          </w:p>
        </w:tc>
        <w:tc>
          <w:tcPr>
            <w:tcW w:w="832" w:type="dxa"/>
            <w:shd w:val="clear" w:color="auto" w:fill="auto"/>
            <w:vAlign w:val="center"/>
          </w:tcPr>
          <w:p w14:paraId="167D881B">
            <w:pPr>
              <w:jc w:val="center"/>
              <w:rPr>
                <w:rFonts w:hint="eastAsia" w:ascii="宋体" w:hAnsi="宋体" w:eastAsia="宋体" w:cs="宋体"/>
                <w:b/>
                <w:bCs/>
                <w:i w:val="0"/>
                <w:iCs w:val="0"/>
                <w:color w:val="000000"/>
                <w:sz w:val="24"/>
                <w:szCs w:val="24"/>
                <w:u w:val="none"/>
              </w:rPr>
            </w:pPr>
          </w:p>
        </w:tc>
        <w:tc>
          <w:tcPr>
            <w:tcW w:w="832" w:type="dxa"/>
            <w:shd w:val="clear" w:color="auto" w:fill="auto"/>
            <w:vAlign w:val="center"/>
          </w:tcPr>
          <w:p w14:paraId="21DEABE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42</w:t>
            </w:r>
          </w:p>
        </w:tc>
        <w:tc>
          <w:tcPr>
            <w:tcW w:w="923" w:type="dxa"/>
            <w:shd w:val="clear" w:color="auto" w:fill="auto"/>
            <w:vAlign w:val="center"/>
          </w:tcPr>
          <w:p w14:paraId="5115932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25200</w:t>
            </w:r>
          </w:p>
        </w:tc>
        <w:tc>
          <w:tcPr>
            <w:tcW w:w="793" w:type="dxa"/>
            <w:shd w:val="clear" w:color="auto" w:fill="auto"/>
            <w:vAlign w:val="center"/>
          </w:tcPr>
          <w:p w14:paraId="4E58EA5C">
            <w:pPr>
              <w:jc w:val="center"/>
              <w:rPr>
                <w:rFonts w:hint="eastAsia" w:ascii="宋体" w:hAnsi="宋体" w:eastAsia="宋体" w:cs="宋体"/>
                <w:b/>
                <w:bCs/>
                <w:i w:val="0"/>
                <w:iCs w:val="0"/>
                <w:color w:val="000000"/>
                <w:sz w:val="24"/>
                <w:szCs w:val="24"/>
                <w:u w:val="none"/>
              </w:rPr>
            </w:pPr>
          </w:p>
        </w:tc>
        <w:tc>
          <w:tcPr>
            <w:tcW w:w="857" w:type="dxa"/>
            <w:shd w:val="clear" w:color="auto" w:fill="auto"/>
            <w:vAlign w:val="center"/>
          </w:tcPr>
          <w:p w14:paraId="08CC5C5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95</w:t>
            </w:r>
          </w:p>
        </w:tc>
        <w:tc>
          <w:tcPr>
            <w:tcW w:w="921" w:type="dxa"/>
            <w:shd w:val="clear" w:color="auto" w:fill="auto"/>
            <w:vAlign w:val="center"/>
          </w:tcPr>
          <w:p w14:paraId="4C8E85C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38000</w:t>
            </w:r>
          </w:p>
        </w:tc>
        <w:tc>
          <w:tcPr>
            <w:tcW w:w="922" w:type="dxa"/>
            <w:shd w:val="clear" w:color="auto" w:fill="auto"/>
            <w:noWrap/>
            <w:vAlign w:val="center"/>
          </w:tcPr>
          <w:p w14:paraId="23235CB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89600</w:t>
            </w:r>
          </w:p>
        </w:tc>
      </w:tr>
      <w:tr w14:paraId="323BD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81" w:hRule="atLeast"/>
        </w:trPr>
        <w:tc>
          <w:tcPr>
            <w:tcW w:w="802" w:type="dxa"/>
            <w:vMerge w:val="restart"/>
            <w:shd w:val="clear" w:color="auto" w:fill="auto"/>
            <w:noWrap/>
            <w:vAlign w:val="center"/>
          </w:tcPr>
          <w:p w14:paraId="707CF8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第三包：安全运维职教保障项目</w:t>
            </w:r>
          </w:p>
        </w:tc>
        <w:tc>
          <w:tcPr>
            <w:tcW w:w="1010" w:type="dxa"/>
            <w:shd w:val="clear" w:color="auto" w:fill="auto"/>
            <w:vAlign w:val="center"/>
          </w:tcPr>
          <w:p w14:paraId="78A1FA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城投集团</w:t>
            </w:r>
          </w:p>
        </w:tc>
        <w:tc>
          <w:tcPr>
            <w:tcW w:w="1561" w:type="dxa"/>
            <w:shd w:val="clear" w:color="auto" w:fill="auto"/>
            <w:vAlign w:val="center"/>
          </w:tcPr>
          <w:p w14:paraId="6DCC35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府中物业管理费</w:t>
            </w:r>
          </w:p>
        </w:tc>
        <w:tc>
          <w:tcPr>
            <w:tcW w:w="888" w:type="dxa"/>
            <w:shd w:val="clear" w:color="auto" w:fill="auto"/>
            <w:vAlign w:val="center"/>
          </w:tcPr>
          <w:p w14:paraId="6379BF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390" w:type="dxa"/>
            <w:shd w:val="clear" w:color="auto" w:fill="auto"/>
            <w:vAlign w:val="center"/>
          </w:tcPr>
          <w:p w14:paraId="44448F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1名高级，1名中级、1名初级</w:t>
            </w:r>
          </w:p>
        </w:tc>
        <w:tc>
          <w:tcPr>
            <w:tcW w:w="843" w:type="dxa"/>
            <w:shd w:val="clear" w:color="auto" w:fill="auto"/>
            <w:vAlign w:val="center"/>
          </w:tcPr>
          <w:p w14:paraId="081197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w:t>
            </w:r>
          </w:p>
        </w:tc>
        <w:tc>
          <w:tcPr>
            <w:tcW w:w="862" w:type="dxa"/>
            <w:shd w:val="clear" w:color="auto" w:fill="auto"/>
            <w:vAlign w:val="center"/>
          </w:tcPr>
          <w:p w14:paraId="016C7C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887" w:type="dxa"/>
            <w:shd w:val="clear" w:color="auto" w:fill="auto"/>
            <w:vAlign w:val="center"/>
          </w:tcPr>
          <w:p w14:paraId="0A8B08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20000</w:t>
            </w:r>
          </w:p>
        </w:tc>
        <w:tc>
          <w:tcPr>
            <w:tcW w:w="832" w:type="dxa"/>
            <w:shd w:val="clear" w:color="auto" w:fill="auto"/>
            <w:vAlign w:val="center"/>
          </w:tcPr>
          <w:p w14:paraId="7FB3A6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600</w:t>
            </w:r>
          </w:p>
        </w:tc>
        <w:tc>
          <w:tcPr>
            <w:tcW w:w="832" w:type="dxa"/>
            <w:shd w:val="clear" w:color="auto" w:fill="auto"/>
            <w:vAlign w:val="center"/>
          </w:tcPr>
          <w:p w14:paraId="4428D0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923" w:type="dxa"/>
            <w:shd w:val="clear" w:color="auto" w:fill="auto"/>
            <w:vAlign w:val="center"/>
          </w:tcPr>
          <w:p w14:paraId="34B217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12000</w:t>
            </w:r>
          </w:p>
        </w:tc>
        <w:tc>
          <w:tcPr>
            <w:tcW w:w="793" w:type="dxa"/>
            <w:shd w:val="clear" w:color="auto" w:fill="auto"/>
            <w:vAlign w:val="center"/>
          </w:tcPr>
          <w:p w14:paraId="36E554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w:t>
            </w:r>
          </w:p>
        </w:tc>
        <w:tc>
          <w:tcPr>
            <w:tcW w:w="857" w:type="dxa"/>
            <w:shd w:val="clear" w:color="auto" w:fill="auto"/>
            <w:vAlign w:val="center"/>
          </w:tcPr>
          <w:p w14:paraId="613B56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921" w:type="dxa"/>
            <w:shd w:val="clear" w:color="auto" w:fill="auto"/>
            <w:vAlign w:val="center"/>
          </w:tcPr>
          <w:p w14:paraId="7689D2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8000</w:t>
            </w:r>
          </w:p>
        </w:tc>
        <w:tc>
          <w:tcPr>
            <w:tcW w:w="922" w:type="dxa"/>
            <w:shd w:val="clear" w:color="auto" w:fill="auto"/>
            <w:noWrap/>
            <w:vAlign w:val="center"/>
          </w:tcPr>
          <w:p w14:paraId="76968F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40000</w:t>
            </w:r>
          </w:p>
        </w:tc>
      </w:tr>
      <w:tr w14:paraId="7B35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81" w:hRule="atLeast"/>
        </w:trPr>
        <w:tc>
          <w:tcPr>
            <w:tcW w:w="802" w:type="dxa"/>
            <w:vMerge w:val="continue"/>
            <w:shd w:val="clear" w:color="auto" w:fill="auto"/>
            <w:noWrap/>
            <w:vAlign w:val="center"/>
          </w:tcPr>
          <w:p w14:paraId="294D96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10" w:type="dxa"/>
            <w:shd w:val="clear" w:color="auto" w:fill="auto"/>
            <w:vAlign w:val="center"/>
          </w:tcPr>
          <w:p w14:paraId="072C8E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城投集团</w:t>
            </w:r>
          </w:p>
        </w:tc>
        <w:tc>
          <w:tcPr>
            <w:tcW w:w="1561" w:type="dxa"/>
            <w:shd w:val="clear" w:color="auto" w:fill="auto"/>
            <w:vAlign w:val="center"/>
          </w:tcPr>
          <w:p w14:paraId="1F0CC4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职中物业管理费</w:t>
            </w:r>
          </w:p>
        </w:tc>
        <w:tc>
          <w:tcPr>
            <w:tcW w:w="888" w:type="dxa"/>
            <w:shd w:val="clear" w:color="auto" w:fill="auto"/>
            <w:vAlign w:val="center"/>
          </w:tcPr>
          <w:p w14:paraId="555A30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390" w:type="dxa"/>
            <w:shd w:val="clear" w:color="auto" w:fill="auto"/>
            <w:vAlign w:val="center"/>
          </w:tcPr>
          <w:p w14:paraId="406678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1名高级，1名中级、1名初级</w:t>
            </w:r>
          </w:p>
        </w:tc>
        <w:tc>
          <w:tcPr>
            <w:tcW w:w="843" w:type="dxa"/>
            <w:shd w:val="clear" w:color="auto" w:fill="auto"/>
            <w:vAlign w:val="center"/>
          </w:tcPr>
          <w:p w14:paraId="696197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w:t>
            </w:r>
          </w:p>
        </w:tc>
        <w:tc>
          <w:tcPr>
            <w:tcW w:w="862" w:type="dxa"/>
            <w:shd w:val="clear" w:color="auto" w:fill="auto"/>
            <w:vAlign w:val="center"/>
          </w:tcPr>
          <w:p w14:paraId="65D82F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887" w:type="dxa"/>
            <w:shd w:val="clear" w:color="auto" w:fill="auto"/>
            <w:vAlign w:val="center"/>
          </w:tcPr>
          <w:p w14:paraId="66B95D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20000</w:t>
            </w:r>
          </w:p>
        </w:tc>
        <w:tc>
          <w:tcPr>
            <w:tcW w:w="832" w:type="dxa"/>
            <w:shd w:val="clear" w:color="auto" w:fill="auto"/>
            <w:vAlign w:val="center"/>
          </w:tcPr>
          <w:p w14:paraId="4D4AAE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600</w:t>
            </w:r>
          </w:p>
        </w:tc>
        <w:tc>
          <w:tcPr>
            <w:tcW w:w="832" w:type="dxa"/>
            <w:shd w:val="clear" w:color="auto" w:fill="auto"/>
            <w:vAlign w:val="center"/>
          </w:tcPr>
          <w:p w14:paraId="2C85FF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923" w:type="dxa"/>
            <w:shd w:val="clear" w:color="auto" w:fill="auto"/>
            <w:vAlign w:val="center"/>
          </w:tcPr>
          <w:p w14:paraId="717202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12000</w:t>
            </w:r>
          </w:p>
        </w:tc>
        <w:tc>
          <w:tcPr>
            <w:tcW w:w="793" w:type="dxa"/>
            <w:shd w:val="clear" w:color="auto" w:fill="auto"/>
            <w:vAlign w:val="center"/>
          </w:tcPr>
          <w:p w14:paraId="01512C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w:t>
            </w:r>
          </w:p>
        </w:tc>
        <w:tc>
          <w:tcPr>
            <w:tcW w:w="857" w:type="dxa"/>
            <w:shd w:val="clear" w:color="auto" w:fill="auto"/>
            <w:vAlign w:val="center"/>
          </w:tcPr>
          <w:p w14:paraId="2626DD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921" w:type="dxa"/>
            <w:shd w:val="clear" w:color="auto" w:fill="auto"/>
            <w:vAlign w:val="center"/>
          </w:tcPr>
          <w:p w14:paraId="65CFE9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8000</w:t>
            </w:r>
          </w:p>
        </w:tc>
        <w:tc>
          <w:tcPr>
            <w:tcW w:w="922" w:type="dxa"/>
            <w:shd w:val="clear" w:color="auto" w:fill="auto"/>
            <w:noWrap/>
            <w:vAlign w:val="center"/>
          </w:tcPr>
          <w:p w14:paraId="4E6D99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40000</w:t>
            </w:r>
          </w:p>
        </w:tc>
      </w:tr>
      <w:tr w14:paraId="05505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81" w:hRule="atLeast"/>
        </w:trPr>
        <w:tc>
          <w:tcPr>
            <w:tcW w:w="802" w:type="dxa"/>
            <w:vMerge w:val="continue"/>
            <w:shd w:val="clear" w:color="auto" w:fill="auto"/>
            <w:noWrap/>
            <w:vAlign w:val="center"/>
          </w:tcPr>
          <w:p w14:paraId="3CB694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10" w:type="dxa"/>
            <w:shd w:val="clear" w:color="auto" w:fill="auto"/>
            <w:vAlign w:val="center"/>
          </w:tcPr>
          <w:p w14:paraId="39A608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能源局</w:t>
            </w:r>
          </w:p>
        </w:tc>
        <w:tc>
          <w:tcPr>
            <w:tcW w:w="1561" w:type="dxa"/>
            <w:shd w:val="clear" w:color="auto" w:fill="auto"/>
            <w:vAlign w:val="center"/>
          </w:tcPr>
          <w:p w14:paraId="6860D1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驻矿安检员</w:t>
            </w:r>
          </w:p>
        </w:tc>
        <w:tc>
          <w:tcPr>
            <w:tcW w:w="888" w:type="dxa"/>
            <w:shd w:val="clear" w:color="auto" w:fill="auto"/>
            <w:vAlign w:val="center"/>
          </w:tcPr>
          <w:p w14:paraId="40B178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390" w:type="dxa"/>
            <w:shd w:val="clear" w:color="auto" w:fill="auto"/>
            <w:vAlign w:val="center"/>
          </w:tcPr>
          <w:p w14:paraId="5E28BB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1名高级，1名中级、1名初级</w:t>
            </w:r>
          </w:p>
        </w:tc>
        <w:tc>
          <w:tcPr>
            <w:tcW w:w="843" w:type="dxa"/>
            <w:shd w:val="clear" w:color="auto" w:fill="auto"/>
            <w:vAlign w:val="center"/>
          </w:tcPr>
          <w:p w14:paraId="63FA75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w:t>
            </w:r>
          </w:p>
        </w:tc>
        <w:tc>
          <w:tcPr>
            <w:tcW w:w="862" w:type="dxa"/>
            <w:shd w:val="clear" w:color="auto" w:fill="auto"/>
            <w:vAlign w:val="center"/>
          </w:tcPr>
          <w:p w14:paraId="44DB37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887" w:type="dxa"/>
            <w:shd w:val="clear" w:color="auto" w:fill="auto"/>
            <w:vAlign w:val="center"/>
          </w:tcPr>
          <w:p w14:paraId="403374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20000</w:t>
            </w:r>
          </w:p>
        </w:tc>
        <w:tc>
          <w:tcPr>
            <w:tcW w:w="832" w:type="dxa"/>
            <w:shd w:val="clear" w:color="auto" w:fill="auto"/>
            <w:vAlign w:val="center"/>
          </w:tcPr>
          <w:p w14:paraId="026136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600</w:t>
            </w:r>
          </w:p>
        </w:tc>
        <w:tc>
          <w:tcPr>
            <w:tcW w:w="832" w:type="dxa"/>
            <w:shd w:val="clear" w:color="auto" w:fill="auto"/>
            <w:vAlign w:val="center"/>
          </w:tcPr>
          <w:p w14:paraId="1C4A9E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923" w:type="dxa"/>
            <w:shd w:val="clear" w:color="auto" w:fill="auto"/>
            <w:vAlign w:val="center"/>
          </w:tcPr>
          <w:p w14:paraId="4FBF99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12000</w:t>
            </w:r>
          </w:p>
        </w:tc>
        <w:tc>
          <w:tcPr>
            <w:tcW w:w="793" w:type="dxa"/>
            <w:shd w:val="clear" w:color="auto" w:fill="auto"/>
            <w:vAlign w:val="center"/>
          </w:tcPr>
          <w:p w14:paraId="3BC5C8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w:t>
            </w:r>
          </w:p>
        </w:tc>
        <w:tc>
          <w:tcPr>
            <w:tcW w:w="857" w:type="dxa"/>
            <w:shd w:val="clear" w:color="auto" w:fill="auto"/>
            <w:vAlign w:val="center"/>
          </w:tcPr>
          <w:p w14:paraId="187C45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921" w:type="dxa"/>
            <w:shd w:val="clear" w:color="auto" w:fill="auto"/>
            <w:vAlign w:val="center"/>
          </w:tcPr>
          <w:p w14:paraId="01C399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8000</w:t>
            </w:r>
          </w:p>
        </w:tc>
        <w:tc>
          <w:tcPr>
            <w:tcW w:w="922" w:type="dxa"/>
            <w:shd w:val="clear" w:color="auto" w:fill="auto"/>
            <w:noWrap/>
            <w:vAlign w:val="center"/>
          </w:tcPr>
          <w:p w14:paraId="6B85D8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40000</w:t>
            </w:r>
          </w:p>
        </w:tc>
      </w:tr>
      <w:tr w14:paraId="2BA78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81" w:hRule="atLeast"/>
        </w:trPr>
        <w:tc>
          <w:tcPr>
            <w:tcW w:w="802" w:type="dxa"/>
            <w:vMerge w:val="continue"/>
            <w:shd w:val="clear" w:color="auto" w:fill="auto"/>
            <w:noWrap/>
            <w:vAlign w:val="center"/>
          </w:tcPr>
          <w:p w14:paraId="66519C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10" w:type="dxa"/>
            <w:shd w:val="clear" w:color="auto" w:fill="auto"/>
            <w:vAlign w:val="center"/>
          </w:tcPr>
          <w:p w14:paraId="70BA6C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能源局</w:t>
            </w:r>
          </w:p>
        </w:tc>
        <w:tc>
          <w:tcPr>
            <w:tcW w:w="1561" w:type="dxa"/>
            <w:shd w:val="clear" w:color="auto" w:fill="auto"/>
            <w:vAlign w:val="center"/>
          </w:tcPr>
          <w:p w14:paraId="7A0C90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煤矿安全生产远程监管平台升级改造项目</w:t>
            </w:r>
          </w:p>
        </w:tc>
        <w:tc>
          <w:tcPr>
            <w:tcW w:w="888" w:type="dxa"/>
            <w:shd w:val="clear" w:color="auto" w:fill="auto"/>
            <w:vAlign w:val="center"/>
          </w:tcPr>
          <w:p w14:paraId="6987C7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390" w:type="dxa"/>
            <w:shd w:val="clear" w:color="auto" w:fill="auto"/>
            <w:vAlign w:val="center"/>
          </w:tcPr>
          <w:p w14:paraId="382B02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1名高级，1名中级、1名初级</w:t>
            </w:r>
          </w:p>
        </w:tc>
        <w:tc>
          <w:tcPr>
            <w:tcW w:w="843" w:type="dxa"/>
            <w:shd w:val="clear" w:color="auto" w:fill="auto"/>
            <w:vAlign w:val="center"/>
          </w:tcPr>
          <w:p w14:paraId="322EDC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w:t>
            </w:r>
          </w:p>
        </w:tc>
        <w:tc>
          <w:tcPr>
            <w:tcW w:w="862" w:type="dxa"/>
            <w:shd w:val="clear" w:color="auto" w:fill="auto"/>
            <w:vAlign w:val="center"/>
          </w:tcPr>
          <w:p w14:paraId="496B15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887" w:type="dxa"/>
            <w:shd w:val="clear" w:color="auto" w:fill="auto"/>
            <w:vAlign w:val="center"/>
          </w:tcPr>
          <w:p w14:paraId="345B1D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24000</w:t>
            </w:r>
          </w:p>
        </w:tc>
        <w:tc>
          <w:tcPr>
            <w:tcW w:w="832" w:type="dxa"/>
            <w:shd w:val="clear" w:color="auto" w:fill="auto"/>
            <w:vAlign w:val="center"/>
          </w:tcPr>
          <w:p w14:paraId="2FF93F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600</w:t>
            </w:r>
          </w:p>
        </w:tc>
        <w:tc>
          <w:tcPr>
            <w:tcW w:w="832" w:type="dxa"/>
            <w:shd w:val="clear" w:color="auto" w:fill="auto"/>
            <w:vAlign w:val="center"/>
          </w:tcPr>
          <w:p w14:paraId="29656B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923" w:type="dxa"/>
            <w:shd w:val="clear" w:color="auto" w:fill="auto"/>
            <w:vAlign w:val="center"/>
          </w:tcPr>
          <w:p w14:paraId="4C00E6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18000</w:t>
            </w:r>
          </w:p>
        </w:tc>
        <w:tc>
          <w:tcPr>
            <w:tcW w:w="793" w:type="dxa"/>
            <w:shd w:val="clear" w:color="auto" w:fill="auto"/>
            <w:vAlign w:val="center"/>
          </w:tcPr>
          <w:p w14:paraId="3C0A9B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w:t>
            </w:r>
          </w:p>
        </w:tc>
        <w:tc>
          <w:tcPr>
            <w:tcW w:w="857" w:type="dxa"/>
            <w:shd w:val="clear" w:color="auto" w:fill="auto"/>
            <w:vAlign w:val="center"/>
          </w:tcPr>
          <w:p w14:paraId="73A1D2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921" w:type="dxa"/>
            <w:shd w:val="clear" w:color="auto" w:fill="auto"/>
            <w:vAlign w:val="center"/>
          </w:tcPr>
          <w:p w14:paraId="6C3096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12000</w:t>
            </w:r>
          </w:p>
        </w:tc>
        <w:tc>
          <w:tcPr>
            <w:tcW w:w="922" w:type="dxa"/>
            <w:shd w:val="clear" w:color="auto" w:fill="auto"/>
            <w:noWrap/>
            <w:vAlign w:val="center"/>
          </w:tcPr>
          <w:p w14:paraId="3ACFB0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54000</w:t>
            </w:r>
          </w:p>
        </w:tc>
      </w:tr>
      <w:tr w14:paraId="30F82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81" w:hRule="atLeast"/>
        </w:trPr>
        <w:tc>
          <w:tcPr>
            <w:tcW w:w="802" w:type="dxa"/>
            <w:shd w:val="clear" w:color="auto" w:fill="auto"/>
            <w:vAlign w:val="center"/>
          </w:tcPr>
          <w:p w14:paraId="719840BC">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rPr>
              <w:t>合计</w:t>
            </w:r>
          </w:p>
        </w:tc>
        <w:tc>
          <w:tcPr>
            <w:tcW w:w="1010" w:type="dxa"/>
            <w:shd w:val="clear" w:color="auto" w:fill="auto"/>
            <w:vAlign w:val="center"/>
          </w:tcPr>
          <w:p w14:paraId="15E32DF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人民币大写</w:t>
            </w:r>
          </w:p>
        </w:tc>
        <w:tc>
          <w:tcPr>
            <w:tcW w:w="3839" w:type="dxa"/>
            <w:gridSpan w:val="3"/>
            <w:shd w:val="clear" w:color="auto" w:fill="auto"/>
            <w:vAlign w:val="center"/>
          </w:tcPr>
          <w:p w14:paraId="02886BF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壹拾柒万肆仟元整</w:t>
            </w:r>
          </w:p>
        </w:tc>
        <w:tc>
          <w:tcPr>
            <w:tcW w:w="843" w:type="dxa"/>
            <w:shd w:val="clear" w:color="auto" w:fill="auto"/>
            <w:vAlign w:val="center"/>
          </w:tcPr>
          <w:p w14:paraId="051C4599">
            <w:pPr>
              <w:jc w:val="center"/>
              <w:rPr>
                <w:rFonts w:hint="eastAsia" w:ascii="宋体" w:hAnsi="宋体" w:eastAsia="宋体" w:cs="宋体"/>
                <w:b/>
                <w:bCs/>
                <w:i w:val="0"/>
                <w:iCs w:val="0"/>
                <w:color w:val="000000"/>
                <w:sz w:val="22"/>
                <w:szCs w:val="22"/>
                <w:u w:val="none"/>
              </w:rPr>
            </w:pPr>
          </w:p>
        </w:tc>
        <w:tc>
          <w:tcPr>
            <w:tcW w:w="862" w:type="dxa"/>
            <w:shd w:val="clear" w:color="auto" w:fill="auto"/>
            <w:vAlign w:val="center"/>
          </w:tcPr>
          <w:p w14:paraId="1175463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105</w:t>
            </w:r>
          </w:p>
        </w:tc>
        <w:tc>
          <w:tcPr>
            <w:tcW w:w="887" w:type="dxa"/>
            <w:shd w:val="clear" w:color="auto" w:fill="auto"/>
            <w:vAlign w:val="center"/>
          </w:tcPr>
          <w:p w14:paraId="12728CF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84000</w:t>
            </w:r>
          </w:p>
        </w:tc>
        <w:tc>
          <w:tcPr>
            <w:tcW w:w="832" w:type="dxa"/>
            <w:shd w:val="clear" w:color="auto" w:fill="auto"/>
            <w:vAlign w:val="center"/>
          </w:tcPr>
          <w:p w14:paraId="517E036B">
            <w:pPr>
              <w:jc w:val="center"/>
              <w:rPr>
                <w:rFonts w:hint="eastAsia" w:ascii="宋体" w:hAnsi="宋体" w:eastAsia="宋体" w:cs="宋体"/>
                <w:b/>
                <w:bCs/>
                <w:i w:val="0"/>
                <w:iCs w:val="0"/>
                <w:color w:val="000000"/>
                <w:sz w:val="24"/>
                <w:szCs w:val="24"/>
                <w:u w:val="none"/>
              </w:rPr>
            </w:pPr>
          </w:p>
        </w:tc>
        <w:tc>
          <w:tcPr>
            <w:tcW w:w="832" w:type="dxa"/>
            <w:shd w:val="clear" w:color="auto" w:fill="auto"/>
            <w:vAlign w:val="center"/>
          </w:tcPr>
          <w:p w14:paraId="0D10DE9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90</w:t>
            </w:r>
          </w:p>
        </w:tc>
        <w:tc>
          <w:tcPr>
            <w:tcW w:w="923" w:type="dxa"/>
            <w:shd w:val="clear" w:color="auto" w:fill="auto"/>
            <w:vAlign w:val="center"/>
          </w:tcPr>
          <w:p w14:paraId="11700A6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54000</w:t>
            </w:r>
          </w:p>
        </w:tc>
        <w:tc>
          <w:tcPr>
            <w:tcW w:w="793" w:type="dxa"/>
            <w:shd w:val="clear" w:color="auto" w:fill="auto"/>
            <w:vAlign w:val="center"/>
          </w:tcPr>
          <w:p w14:paraId="2271B89E">
            <w:pPr>
              <w:jc w:val="center"/>
              <w:rPr>
                <w:rFonts w:hint="eastAsia" w:ascii="宋体" w:hAnsi="宋体" w:eastAsia="宋体" w:cs="宋体"/>
                <w:b/>
                <w:bCs/>
                <w:i w:val="0"/>
                <w:iCs w:val="0"/>
                <w:color w:val="000000"/>
                <w:sz w:val="24"/>
                <w:szCs w:val="24"/>
                <w:u w:val="none"/>
              </w:rPr>
            </w:pPr>
          </w:p>
        </w:tc>
        <w:tc>
          <w:tcPr>
            <w:tcW w:w="857" w:type="dxa"/>
            <w:shd w:val="clear" w:color="auto" w:fill="auto"/>
            <w:vAlign w:val="center"/>
          </w:tcPr>
          <w:p w14:paraId="0BD6ADC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90</w:t>
            </w:r>
          </w:p>
        </w:tc>
        <w:tc>
          <w:tcPr>
            <w:tcW w:w="921" w:type="dxa"/>
            <w:shd w:val="clear" w:color="auto" w:fill="auto"/>
            <w:vAlign w:val="center"/>
          </w:tcPr>
          <w:p w14:paraId="382CB52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36000</w:t>
            </w:r>
          </w:p>
        </w:tc>
        <w:tc>
          <w:tcPr>
            <w:tcW w:w="922" w:type="dxa"/>
            <w:shd w:val="clear" w:color="auto" w:fill="auto"/>
            <w:noWrap/>
            <w:vAlign w:val="center"/>
          </w:tcPr>
          <w:p w14:paraId="34470F6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174000</w:t>
            </w:r>
          </w:p>
        </w:tc>
      </w:tr>
      <w:tr w14:paraId="4BF13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802" w:type="dxa"/>
            <w:shd w:val="clear" w:color="auto" w:fill="auto"/>
            <w:vAlign w:val="center"/>
          </w:tcPr>
          <w:p w14:paraId="0C0B92FD">
            <w:pPr>
              <w:rPr>
                <w:rFonts w:hint="default"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总计</w:t>
            </w:r>
          </w:p>
        </w:tc>
        <w:tc>
          <w:tcPr>
            <w:tcW w:w="13521" w:type="dxa"/>
            <w:gridSpan w:val="14"/>
            <w:shd w:val="clear" w:color="auto" w:fill="auto"/>
            <w:vAlign w:val="center"/>
          </w:tcPr>
          <w:p w14:paraId="64443B8E">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人民币大写：叁拾伍万贰仟贰佰元整（¥352200.00）</w:t>
            </w:r>
          </w:p>
        </w:tc>
      </w:tr>
      <w:tr w14:paraId="18B11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57" w:hRule="atLeast"/>
        </w:trPr>
        <w:tc>
          <w:tcPr>
            <w:tcW w:w="14323" w:type="dxa"/>
            <w:gridSpan w:val="15"/>
            <w:shd w:val="clear" w:color="auto" w:fill="auto"/>
            <w:noWrap/>
            <w:vAlign w:val="center"/>
          </w:tcPr>
          <w:p w14:paraId="2B38F540">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注：参照榆林市专家补贴标准：高级人员800元/天、中级人员600元/天、初级人员400元/天，以上工资标准包含工作人员工资、差旅、食宿、外聘专家费、资料费、税费及合理利润。</w:t>
            </w:r>
          </w:p>
        </w:tc>
      </w:tr>
    </w:tbl>
    <w:p w14:paraId="38C9BF59">
      <w:pPr>
        <w:rPr>
          <w:rFonts w:hint="eastAsia" w:ascii="宋体" w:hAnsi="宋体" w:eastAsia="宋体" w:cs="宋体"/>
          <w:b/>
          <w:bCs/>
          <w:sz w:val="28"/>
          <w:szCs w:val="28"/>
        </w:rPr>
      </w:pPr>
      <w:r>
        <w:rPr>
          <w:rFonts w:hint="eastAsia" w:ascii="宋体" w:hAnsi="宋体" w:eastAsia="宋体" w:cs="宋体"/>
          <w:b/>
          <w:bCs/>
          <w:sz w:val="28"/>
          <w:szCs w:val="28"/>
        </w:rPr>
        <w:br w:type="page"/>
      </w:r>
    </w:p>
    <w:p w14:paraId="2A74CBD0">
      <w:pPr>
        <w:rPr>
          <w:rFonts w:hint="eastAsia" w:ascii="宋体" w:hAnsi="宋体" w:eastAsia="宋体" w:cs="宋体"/>
          <w:b/>
          <w:bCs/>
          <w:sz w:val="28"/>
          <w:szCs w:val="28"/>
        </w:rPr>
        <w:sectPr>
          <w:pgSz w:w="16838" w:h="11906" w:orient="landscape"/>
          <w:pgMar w:top="1800" w:right="1440" w:bottom="1800" w:left="1440" w:header="851" w:footer="992" w:gutter="0"/>
          <w:cols w:space="425" w:num="1"/>
          <w:docGrid w:type="lines" w:linePitch="312" w:charSpace="0"/>
        </w:sectPr>
      </w:pPr>
    </w:p>
    <w:p w14:paraId="3B1C0D50">
      <w:pPr>
        <w:spacing w:line="520" w:lineRule="exact"/>
        <w:ind w:firstLine="562" w:firstLineChars="200"/>
        <w:rPr>
          <w:rFonts w:ascii="宋体" w:hAnsi="宋体" w:eastAsia="宋体" w:cs="宋体"/>
          <w:b/>
          <w:bCs/>
          <w:sz w:val="28"/>
          <w:szCs w:val="28"/>
        </w:rPr>
      </w:pPr>
      <w:r>
        <w:rPr>
          <w:rFonts w:hint="eastAsia" w:ascii="宋体" w:hAnsi="宋体" w:eastAsia="宋体" w:cs="宋体"/>
          <w:b/>
          <w:bCs/>
          <w:sz w:val="28"/>
          <w:szCs w:val="28"/>
        </w:rPr>
        <w:t>采购金额总计为：352200.00</w:t>
      </w:r>
      <w:r>
        <w:rPr>
          <w:rFonts w:hint="eastAsia" w:ascii="宋体" w:hAnsi="宋体" w:eastAsia="宋体" w:cs="宋体"/>
          <w:b w:val="0"/>
          <w:bCs w:val="0"/>
          <w:sz w:val="28"/>
          <w:szCs w:val="28"/>
          <w:lang w:val="en-US" w:eastAsia="zh-CN"/>
        </w:rPr>
        <w:t>元</w:t>
      </w:r>
      <w:r>
        <w:rPr>
          <w:rFonts w:hint="eastAsia" w:ascii="宋体" w:hAnsi="宋体" w:eastAsia="宋体" w:cs="宋体"/>
          <w:b/>
          <w:bCs/>
          <w:sz w:val="28"/>
          <w:szCs w:val="28"/>
        </w:rPr>
        <w:t>。</w:t>
      </w:r>
    </w:p>
    <w:p w14:paraId="69A52EAD">
      <w:pPr>
        <w:spacing w:line="520" w:lineRule="exact"/>
        <w:ind w:firstLine="562" w:firstLineChars="200"/>
        <w:rPr>
          <w:rFonts w:ascii="宋体" w:hAnsi="宋体" w:eastAsia="宋体" w:cs="宋体"/>
          <w:b/>
          <w:bCs/>
          <w:sz w:val="28"/>
          <w:szCs w:val="28"/>
        </w:rPr>
      </w:pPr>
      <w:r>
        <w:rPr>
          <w:rFonts w:hint="eastAsia" w:ascii="宋体" w:hAnsi="宋体" w:eastAsia="宋体" w:cs="宋体"/>
          <w:b/>
          <w:bCs/>
          <w:sz w:val="28"/>
          <w:szCs w:val="28"/>
        </w:rPr>
        <w:t>采购要求：</w:t>
      </w:r>
    </w:p>
    <w:p w14:paraId="11DACBE5">
      <w:pPr>
        <w:ind w:firstLine="840" w:firstLineChars="300"/>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2025年度重点项目绩效评价咨询服务项目，具体内容详见磋商文件。</w:t>
      </w:r>
    </w:p>
    <w:p w14:paraId="40F99F76">
      <w:pPr>
        <w:rPr>
          <w:rFonts w:ascii="宋体" w:hAnsi="宋体" w:eastAsia="宋体" w:cs="宋体"/>
          <w:sz w:val="28"/>
          <w:szCs w:val="28"/>
          <w:highlight w:val="none"/>
        </w:rPr>
      </w:pPr>
      <w:r>
        <w:rPr>
          <w:rFonts w:hint="eastAsia" w:ascii="宋体" w:hAnsi="宋体" w:eastAsia="宋体" w:cs="宋体"/>
          <w:b/>
          <w:bCs/>
          <w:sz w:val="28"/>
          <w:szCs w:val="28"/>
          <w:highlight w:val="none"/>
        </w:rPr>
        <w:t>4、履行期限及方式：</w:t>
      </w:r>
      <w:r>
        <w:rPr>
          <w:rFonts w:hint="eastAsia" w:ascii="宋体" w:hAnsi="宋体" w:eastAsia="宋体" w:cs="宋体"/>
          <w:color w:val="000000" w:themeColor="text1"/>
          <w:sz w:val="28"/>
          <w:szCs w:val="28"/>
          <w:highlight w:val="none"/>
          <w14:textFill>
            <w14:solidFill>
              <w14:schemeClr w14:val="tx1"/>
            </w14:solidFill>
          </w14:textFill>
        </w:rPr>
        <w:t>须于签订合同后</w:t>
      </w:r>
      <w:r>
        <w:rPr>
          <w:rFonts w:hint="eastAsia" w:ascii="宋体" w:hAnsi="宋体" w:eastAsia="宋体" w:cs="宋体"/>
          <w:color w:val="000000" w:themeColor="text1"/>
          <w:sz w:val="28"/>
          <w:szCs w:val="28"/>
          <w:highlight w:val="none"/>
          <w:lang w:val="en-US" w:eastAsia="zh-CN"/>
          <w14:textFill>
            <w14:solidFill>
              <w14:schemeClr w14:val="tx1"/>
            </w14:solidFill>
          </w14:textFill>
        </w:rPr>
        <w:t>90</w:t>
      </w:r>
      <w:r>
        <w:rPr>
          <w:rFonts w:hint="eastAsia" w:ascii="宋体" w:hAnsi="宋体" w:eastAsia="宋体" w:cs="宋体"/>
          <w:color w:val="000000" w:themeColor="text1"/>
          <w:sz w:val="28"/>
          <w:szCs w:val="28"/>
          <w:highlight w:val="none"/>
          <w14:textFill>
            <w14:solidFill>
              <w14:schemeClr w14:val="tx1"/>
            </w14:solidFill>
          </w14:textFill>
        </w:rPr>
        <w:t>日内完成。</w:t>
      </w:r>
    </w:p>
    <w:p w14:paraId="634902C2">
      <w:pPr>
        <w:rPr>
          <w:rFonts w:ascii="宋体" w:hAnsi="宋体" w:eastAsia="宋体" w:cs="宋体"/>
          <w:b/>
          <w:bCs/>
          <w:sz w:val="28"/>
          <w:szCs w:val="28"/>
        </w:rPr>
      </w:pPr>
      <w:r>
        <w:rPr>
          <w:rFonts w:hint="eastAsia" w:ascii="宋体" w:hAnsi="宋体" w:eastAsia="宋体" w:cs="宋体"/>
          <w:b/>
          <w:bCs/>
          <w:sz w:val="28"/>
          <w:szCs w:val="28"/>
        </w:rPr>
        <w:t>四、合同模板：</w:t>
      </w:r>
    </w:p>
    <w:p w14:paraId="3E88D692">
      <w:pPr>
        <w:jc w:val="center"/>
        <w:rPr>
          <w:rFonts w:ascii="楷体" w:hAnsi="楷体" w:eastAsia="楷体" w:cs="楷体"/>
          <w:sz w:val="44"/>
          <w:szCs w:val="44"/>
        </w:rPr>
      </w:pPr>
      <w:r>
        <w:rPr>
          <w:rFonts w:hint="eastAsia"/>
          <w:b/>
          <w:bCs/>
          <w:sz w:val="32"/>
          <w:szCs w:val="40"/>
        </w:rPr>
        <w:t>府谷县</w:t>
      </w:r>
      <w:r>
        <w:rPr>
          <w:rFonts w:hint="eastAsia"/>
          <w:b/>
          <w:bCs/>
          <w:sz w:val="32"/>
          <w:szCs w:val="40"/>
          <w:lang w:eastAsia="zh-CN"/>
        </w:rPr>
        <w:t>财政绩效评价中心绩效评价咨询服务</w:t>
      </w:r>
      <w:r>
        <w:rPr>
          <w:rFonts w:hint="eastAsia"/>
          <w:b/>
          <w:bCs/>
          <w:sz w:val="32"/>
          <w:szCs w:val="40"/>
        </w:rPr>
        <w:t>采购合同</w:t>
      </w:r>
    </w:p>
    <w:p w14:paraId="15BFABAE">
      <w:pPr>
        <w:pStyle w:val="10"/>
        <w:ind w:firstLine="0" w:firstLineChars="0"/>
        <w:rPr>
          <w:rFonts w:hint="eastAsia" w:ascii="宋体" w:hAnsi="宋体" w:eastAsia="宋体" w:cs="宋体"/>
          <w:kern w:val="2"/>
          <w:sz w:val="28"/>
          <w:szCs w:val="28"/>
          <w:u w:val="single"/>
          <w:lang w:val="en-US" w:eastAsia="zh-CN" w:bidi="ar-SA"/>
        </w:rPr>
      </w:pPr>
      <w:r>
        <w:rPr>
          <w:rFonts w:hint="eastAsia" w:ascii="宋体" w:hAnsi="宋体" w:eastAsia="宋体" w:cs="宋体"/>
          <w:kern w:val="2"/>
          <w:sz w:val="28"/>
          <w:szCs w:val="28"/>
          <w:lang w:val="en-US" w:eastAsia="zh-CN" w:bidi="ar-SA"/>
        </w:rPr>
        <w:t>甲方（盖章）：</w:t>
      </w:r>
      <w:r>
        <w:rPr>
          <w:rFonts w:hint="eastAsia" w:ascii="宋体" w:hAnsi="宋体" w:eastAsia="宋体" w:cs="宋体"/>
          <w:kern w:val="2"/>
          <w:sz w:val="28"/>
          <w:szCs w:val="28"/>
          <w:u w:val="single"/>
          <w:lang w:val="en-US" w:eastAsia="zh-CN" w:bidi="ar-SA"/>
        </w:rPr>
        <w:t>府谷县财政绩效评价中心   （以下简称甲方）</w:t>
      </w:r>
    </w:p>
    <w:p w14:paraId="3DFE6158">
      <w:pPr>
        <w:spacing w:line="360" w:lineRule="auto"/>
        <w:rPr>
          <w:rFonts w:hint="eastAsia" w:ascii="宋体" w:hAnsi="宋体" w:eastAsia="宋体" w:cs="宋体"/>
          <w:kern w:val="2"/>
          <w:sz w:val="28"/>
          <w:szCs w:val="28"/>
          <w:u w:val="single"/>
          <w:lang w:val="en-US" w:eastAsia="zh-CN" w:bidi="ar-SA"/>
        </w:rPr>
      </w:pPr>
      <w:r>
        <w:rPr>
          <w:rFonts w:hint="eastAsia" w:ascii="宋体" w:hAnsi="宋体" w:eastAsia="宋体" w:cs="宋体"/>
          <w:kern w:val="2"/>
          <w:sz w:val="28"/>
          <w:szCs w:val="28"/>
          <w:lang w:val="en-US" w:eastAsia="zh-CN" w:bidi="ar-SA"/>
        </w:rPr>
        <w:t xml:space="preserve">乙方（盖章）： </w:t>
      </w:r>
      <w:r>
        <w:rPr>
          <w:rFonts w:hint="eastAsia" w:ascii="宋体" w:hAnsi="宋体" w:eastAsia="宋体" w:cs="宋体"/>
          <w:kern w:val="2"/>
          <w:sz w:val="28"/>
          <w:szCs w:val="28"/>
          <w:u w:val="single"/>
          <w:lang w:val="en-US" w:eastAsia="zh-CN" w:bidi="ar-SA"/>
        </w:rPr>
        <w:t xml:space="preserve">                        （以下简称乙方）</w:t>
      </w:r>
    </w:p>
    <w:p w14:paraId="292BEF43">
      <w:pPr>
        <w:spacing w:line="360" w:lineRule="auto"/>
        <w:ind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经甲乙双方共同协商，在互利互惠的基础上，依据《中华人民共和国合同法》有关规定订立本合同以便共同遵守。具体条款如下：</w:t>
      </w:r>
    </w:p>
    <w:p w14:paraId="4090FB91">
      <w:pPr>
        <w:spacing w:line="360" w:lineRule="auto"/>
        <w:ind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一、合同价格：</w:t>
      </w:r>
    </w:p>
    <w:p w14:paraId="7ECD3644">
      <w:pPr>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2025年度重点项目绩效评价咨询服务项目，具体配置见后附清单。</w:t>
      </w:r>
    </w:p>
    <w:p w14:paraId="35003573">
      <w:pPr>
        <w:spacing w:line="360" w:lineRule="auto"/>
        <w:ind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二、双方责任：</w:t>
      </w:r>
    </w:p>
    <w:p w14:paraId="0E64838B">
      <w:pPr>
        <w:spacing w:line="360" w:lineRule="auto"/>
        <w:ind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乙方责任</w:t>
      </w:r>
    </w:p>
    <w:p w14:paraId="2F44AF9A">
      <w:pPr>
        <w:spacing w:line="360" w:lineRule="auto"/>
        <w:ind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1.按合同规定时间开展现场评价工作，并出具高质量绩效评价报告。</w:t>
      </w:r>
      <w:bookmarkStart w:id="0" w:name="_GoBack"/>
      <w:bookmarkEnd w:id="0"/>
    </w:p>
    <w:p w14:paraId="1759A8DD">
      <w:pPr>
        <w:spacing w:line="360" w:lineRule="auto"/>
        <w:ind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（二）甲方责任</w:t>
      </w:r>
    </w:p>
    <w:p w14:paraId="0CC5789E">
      <w:pPr>
        <w:spacing w:line="360" w:lineRule="auto"/>
        <w:ind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1.协助乙方指导乙方开展现场评价工作。</w:t>
      </w:r>
    </w:p>
    <w:p w14:paraId="6732EE85">
      <w:pPr>
        <w:spacing w:line="360" w:lineRule="auto"/>
        <w:ind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2.按时支付乙方服务费。</w:t>
      </w:r>
    </w:p>
    <w:p w14:paraId="45411F0E">
      <w:pPr>
        <w:ind w:firstLine="560" w:firstLineChars="200"/>
        <w:rPr>
          <w:rFonts w:ascii="宋体" w:hAnsi="宋体" w:eastAsia="宋体" w:cs="宋体"/>
          <w:sz w:val="28"/>
          <w:szCs w:val="28"/>
        </w:rPr>
      </w:pPr>
      <w:r>
        <w:rPr>
          <w:rFonts w:hint="eastAsia" w:ascii="宋体" w:hAnsi="宋体" w:eastAsia="宋体" w:cs="宋体"/>
          <w:sz w:val="28"/>
          <w:szCs w:val="28"/>
        </w:rPr>
        <w:t>三、交货时间及地点：</w:t>
      </w:r>
    </w:p>
    <w:p w14:paraId="3E31F4CA">
      <w:pPr>
        <w:ind w:firstLine="560" w:firstLineChars="200"/>
        <w:rPr>
          <w:rFonts w:ascii="宋体" w:hAnsi="宋体" w:eastAsia="宋体" w:cs="宋体"/>
          <w:sz w:val="28"/>
          <w:szCs w:val="28"/>
          <w:highlight w:val="none"/>
        </w:rPr>
      </w:pPr>
      <w:r>
        <w:rPr>
          <w:rFonts w:hint="eastAsia" w:ascii="宋体" w:hAnsi="宋体" w:eastAsia="宋体" w:cs="宋体"/>
          <w:sz w:val="28"/>
          <w:szCs w:val="28"/>
          <w:highlight w:val="none"/>
        </w:rPr>
        <w:t>本合同签定生效之日起</w:t>
      </w:r>
      <w:r>
        <w:rPr>
          <w:rFonts w:hint="eastAsia" w:ascii="宋体" w:hAnsi="宋体" w:eastAsia="宋体" w:cs="宋体"/>
          <w:sz w:val="28"/>
          <w:szCs w:val="28"/>
          <w:highlight w:val="none"/>
          <w:lang w:val="en-US" w:eastAsia="zh-CN"/>
        </w:rPr>
        <w:t>90</w:t>
      </w:r>
      <w:r>
        <w:rPr>
          <w:rFonts w:hint="eastAsia" w:ascii="宋体" w:hAnsi="宋体" w:eastAsia="宋体" w:cs="宋体"/>
          <w:sz w:val="28"/>
          <w:szCs w:val="28"/>
          <w:highlight w:val="none"/>
        </w:rPr>
        <w:t>个工作日内，在甲方所在地</w:t>
      </w:r>
      <w:r>
        <w:rPr>
          <w:rFonts w:hint="eastAsia" w:ascii="宋体" w:hAnsi="宋体" w:eastAsia="宋体" w:cs="宋体"/>
          <w:sz w:val="28"/>
          <w:szCs w:val="28"/>
          <w:highlight w:val="none"/>
          <w:lang w:eastAsia="zh-CN"/>
        </w:rPr>
        <w:t>交付报告</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因报告需要进行三重审核</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待</w:t>
      </w:r>
      <w:r>
        <w:rPr>
          <w:rFonts w:hint="eastAsia" w:ascii="宋体" w:hAnsi="宋体" w:eastAsia="宋体" w:cs="宋体"/>
          <w:sz w:val="28"/>
          <w:szCs w:val="28"/>
          <w:highlight w:val="none"/>
        </w:rPr>
        <w:t>甲方</w:t>
      </w:r>
      <w:r>
        <w:rPr>
          <w:rFonts w:hint="eastAsia" w:ascii="宋体" w:hAnsi="宋体" w:eastAsia="宋体" w:cs="宋体"/>
          <w:sz w:val="28"/>
          <w:szCs w:val="28"/>
          <w:highlight w:val="none"/>
          <w:lang w:eastAsia="zh-CN"/>
        </w:rPr>
        <w:t>审核定稿</w:t>
      </w:r>
      <w:r>
        <w:rPr>
          <w:rFonts w:hint="eastAsia" w:ascii="宋体" w:hAnsi="宋体" w:eastAsia="宋体" w:cs="宋体"/>
          <w:sz w:val="28"/>
          <w:szCs w:val="28"/>
          <w:highlight w:val="none"/>
        </w:rPr>
        <w:t>后，</w:t>
      </w:r>
      <w:r>
        <w:rPr>
          <w:rFonts w:hint="eastAsia" w:ascii="宋体" w:hAnsi="宋体" w:eastAsia="宋体" w:cs="宋体"/>
          <w:sz w:val="28"/>
          <w:szCs w:val="28"/>
          <w:highlight w:val="none"/>
          <w:lang w:val="en-US" w:eastAsia="zh-CN"/>
        </w:rPr>
        <w:t>30</w:t>
      </w:r>
      <w:r>
        <w:rPr>
          <w:rFonts w:hint="eastAsia" w:ascii="宋体" w:hAnsi="宋体" w:eastAsia="宋体" w:cs="宋体"/>
          <w:sz w:val="28"/>
          <w:szCs w:val="28"/>
          <w:highlight w:val="none"/>
        </w:rPr>
        <w:t>个工作日内安排付款。</w:t>
      </w:r>
    </w:p>
    <w:p w14:paraId="5CC587F7">
      <w:pPr>
        <w:ind w:firstLine="560" w:firstLineChars="200"/>
        <w:rPr>
          <w:rFonts w:ascii="宋体" w:hAnsi="宋体" w:eastAsia="宋体" w:cs="宋体"/>
          <w:sz w:val="28"/>
          <w:szCs w:val="28"/>
        </w:rPr>
      </w:pPr>
      <w:r>
        <w:rPr>
          <w:rFonts w:hint="eastAsia" w:ascii="宋体" w:hAnsi="宋体" w:eastAsia="宋体" w:cs="宋体"/>
          <w:sz w:val="28"/>
          <w:szCs w:val="28"/>
          <w:lang w:eastAsia="zh-CN"/>
        </w:rPr>
        <w:t>六</w:t>
      </w:r>
      <w:r>
        <w:rPr>
          <w:rFonts w:hint="eastAsia" w:ascii="宋体" w:hAnsi="宋体" w:eastAsia="宋体" w:cs="宋体"/>
          <w:sz w:val="28"/>
          <w:szCs w:val="28"/>
        </w:rPr>
        <w:t>、违约责任：</w:t>
      </w:r>
    </w:p>
    <w:p w14:paraId="7D78F83E">
      <w:pPr>
        <w:ind w:firstLine="560" w:firstLineChars="200"/>
        <w:rPr>
          <w:rFonts w:ascii="宋体" w:hAnsi="宋体" w:eastAsia="宋体" w:cs="宋体"/>
          <w:sz w:val="28"/>
          <w:szCs w:val="28"/>
        </w:rPr>
      </w:pPr>
      <w:r>
        <w:rPr>
          <w:rFonts w:hint="eastAsia" w:ascii="宋体" w:hAnsi="宋体" w:eastAsia="宋体" w:cs="宋体"/>
          <w:sz w:val="28"/>
          <w:szCs w:val="28"/>
        </w:rPr>
        <w:t>乙方违约责任</w:t>
      </w:r>
    </w:p>
    <w:p w14:paraId="5DF7C04F">
      <w:pPr>
        <w:ind w:firstLine="560" w:firstLineChars="200"/>
        <w:rPr>
          <w:rFonts w:ascii="宋体" w:hAnsi="宋体" w:eastAsia="宋体" w:cs="宋体"/>
          <w:sz w:val="28"/>
          <w:szCs w:val="28"/>
        </w:rPr>
      </w:pPr>
      <w:r>
        <w:rPr>
          <w:rFonts w:hint="eastAsia" w:ascii="宋体" w:hAnsi="宋体" w:eastAsia="宋体" w:cs="宋体"/>
          <w:sz w:val="28"/>
          <w:szCs w:val="28"/>
        </w:rPr>
        <w:t>若乙方不能依照本合同规定时</w:t>
      </w:r>
      <w:r>
        <w:rPr>
          <w:rFonts w:hint="eastAsia" w:ascii="宋体" w:hAnsi="宋体" w:eastAsia="宋体" w:cs="宋体"/>
          <w:sz w:val="28"/>
          <w:szCs w:val="28"/>
          <w:lang w:val="en-US" w:eastAsia="zh-CN"/>
        </w:rPr>
        <w:t>限</w:t>
      </w:r>
      <w:r>
        <w:rPr>
          <w:rFonts w:hint="eastAsia" w:ascii="宋体" w:hAnsi="宋体" w:eastAsia="宋体" w:cs="宋体"/>
          <w:sz w:val="28"/>
          <w:szCs w:val="28"/>
        </w:rPr>
        <w:t>、数量</w:t>
      </w:r>
      <w:r>
        <w:rPr>
          <w:rFonts w:hint="eastAsia" w:ascii="宋体" w:hAnsi="宋体" w:eastAsia="宋体" w:cs="宋体"/>
          <w:sz w:val="28"/>
          <w:szCs w:val="28"/>
          <w:lang w:val="en-US" w:eastAsia="zh-CN"/>
        </w:rPr>
        <w:t>和质量</w:t>
      </w:r>
      <w:r>
        <w:rPr>
          <w:rFonts w:hint="eastAsia" w:ascii="宋体" w:hAnsi="宋体" w:eastAsia="宋体" w:cs="宋体"/>
          <w:sz w:val="28"/>
          <w:szCs w:val="28"/>
        </w:rPr>
        <w:t>交</w:t>
      </w:r>
      <w:r>
        <w:rPr>
          <w:rFonts w:hint="eastAsia" w:ascii="宋体" w:hAnsi="宋体" w:eastAsia="宋体" w:cs="宋体"/>
          <w:sz w:val="28"/>
          <w:szCs w:val="28"/>
          <w:lang w:eastAsia="zh-CN"/>
        </w:rPr>
        <w:t>稿</w:t>
      </w:r>
      <w:r>
        <w:rPr>
          <w:rFonts w:hint="eastAsia" w:ascii="宋体" w:hAnsi="宋体" w:eastAsia="宋体" w:cs="宋体"/>
          <w:sz w:val="28"/>
          <w:szCs w:val="28"/>
        </w:rPr>
        <w:t>，乙方须向甲方支付违约金，违约金每天按总金额的0.1%由甲方从乙方未结</w:t>
      </w:r>
      <w:r>
        <w:rPr>
          <w:rFonts w:hint="eastAsia" w:ascii="宋体" w:hAnsi="宋体" w:eastAsia="宋体" w:cs="宋体"/>
          <w:sz w:val="28"/>
          <w:szCs w:val="28"/>
          <w:lang w:val="en-US" w:eastAsia="zh-CN"/>
        </w:rPr>
        <w:t>费用</w:t>
      </w:r>
      <w:r>
        <w:rPr>
          <w:rFonts w:hint="eastAsia" w:ascii="宋体" w:hAnsi="宋体" w:eastAsia="宋体" w:cs="宋体"/>
          <w:sz w:val="28"/>
          <w:szCs w:val="28"/>
        </w:rPr>
        <w:t>中扣除。</w:t>
      </w:r>
    </w:p>
    <w:p w14:paraId="40C666FB">
      <w:pPr>
        <w:ind w:firstLine="560" w:firstLineChars="200"/>
        <w:rPr>
          <w:rFonts w:ascii="宋体" w:hAnsi="宋体" w:eastAsia="宋体" w:cs="宋体"/>
          <w:sz w:val="28"/>
          <w:szCs w:val="28"/>
        </w:rPr>
      </w:pPr>
      <w:r>
        <w:rPr>
          <w:rFonts w:hint="eastAsia" w:ascii="宋体" w:hAnsi="宋体" w:eastAsia="宋体" w:cs="宋体"/>
          <w:sz w:val="28"/>
          <w:szCs w:val="28"/>
        </w:rPr>
        <w:t>甲方违约责任</w:t>
      </w:r>
    </w:p>
    <w:p w14:paraId="6E3E30B6">
      <w:pPr>
        <w:ind w:firstLine="560" w:firstLineChars="200"/>
        <w:rPr>
          <w:rFonts w:ascii="宋体" w:hAnsi="宋体" w:eastAsia="宋体" w:cs="宋体"/>
          <w:sz w:val="28"/>
          <w:szCs w:val="28"/>
        </w:rPr>
      </w:pPr>
      <w:r>
        <w:rPr>
          <w:rFonts w:hint="eastAsia" w:ascii="宋体" w:hAnsi="宋体" w:eastAsia="宋体" w:cs="宋体"/>
          <w:sz w:val="28"/>
          <w:szCs w:val="28"/>
        </w:rPr>
        <w:t>若甲方未能依照本合同规定付给乙方</w:t>
      </w:r>
      <w:r>
        <w:rPr>
          <w:rFonts w:hint="eastAsia" w:ascii="宋体" w:hAnsi="宋体" w:eastAsia="宋体" w:cs="宋体"/>
          <w:sz w:val="28"/>
          <w:szCs w:val="28"/>
          <w:lang w:val="en-US" w:eastAsia="zh-CN"/>
        </w:rPr>
        <w:t>服务费</w:t>
      </w:r>
      <w:r>
        <w:rPr>
          <w:rFonts w:hint="eastAsia" w:ascii="宋体" w:hAnsi="宋体" w:eastAsia="宋体" w:cs="宋体"/>
          <w:sz w:val="28"/>
          <w:szCs w:val="28"/>
        </w:rPr>
        <w:t>，甲方</w:t>
      </w:r>
      <w:r>
        <w:rPr>
          <w:rFonts w:hint="eastAsia" w:ascii="宋体" w:hAnsi="宋体" w:eastAsia="宋体" w:cs="宋体"/>
          <w:sz w:val="28"/>
          <w:szCs w:val="28"/>
          <w:lang w:val="en-US" w:eastAsia="zh-CN"/>
        </w:rPr>
        <w:t>须</w:t>
      </w:r>
      <w:r>
        <w:rPr>
          <w:rFonts w:hint="eastAsia" w:ascii="宋体" w:hAnsi="宋体" w:eastAsia="宋体" w:cs="宋体"/>
          <w:sz w:val="28"/>
          <w:szCs w:val="28"/>
        </w:rPr>
        <w:t>向乙方支付违约金，违约金每天按照应付金额的0.1%计算。</w:t>
      </w:r>
    </w:p>
    <w:p w14:paraId="3831B327">
      <w:pPr>
        <w:ind w:firstLine="560" w:firstLineChars="200"/>
        <w:rPr>
          <w:rFonts w:ascii="宋体" w:hAnsi="宋体" w:eastAsia="宋体" w:cs="宋体"/>
          <w:sz w:val="28"/>
          <w:szCs w:val="28"/>
        </w:rPr>
      </w:pPr>
      <w:r>
        <w:rPr>
          <w:rFonts w:hint="eastAsia" w:ascii="宋体" w:hAnsi="宋体" w:eastAsia="宋体" w:cs="宋体"/>
          <w:sz w:val="28"/>
          <w:szCs w:val="28"/>
        </w:rPr>
        <w:t>六、纠纷解决：</w:t>
      </w:r>
    </w:p>
    <w:p w14:paraId="34E7C968">
      <w:pPr>
        <w:ind w:firstLine="560" w:firstLineChars="200"/>
        <w:rPr>
          <w:rFonts w:ascii="宋体" w:hAnsi="宋体" w:eastAsia="宋体" w:cs="宋体"/>
          <w:sz w:val="28"/>
          <w:szCs w:val="28"/>
        </w:rPr>
      </w:pPr>
      <w:r>
        <w:rPr>
          <w:rFonts w:hint="eastAsia" w:ascii="宋体" w:hAnsi="宋体" w:eastAsia="宋体" w:cs="宋体"/>
          <w:sz w:val="28"/>
          <w:szCs w:val="28"/>
        </w:rPr>
        <w:t>甲、乙双方必须严格遵守本合同的全部内容，履行各自应尽的责任，如发生争议，双方应友好协商解决，协商无效，可由任何一方向甲方所在地人民法院提起诉讼。</w:t>
      </w:r>
    </w:p>
    <w:p w14:paraId="4010489C">
      <w:pPr>
        <w:ind w:firstLine="560" w:firstLineChars="200"/>
        <w:rPr>
          <w:rFonts w:ascii="宋体" w:hAnsi="宋体" w:eastAsia="宋体" w:cs="宋体"/>
          <w:sz w:val="28"/>
          <w:szCs w:val="28"/>
        </w:rPr>
      </w:pPr>
      <w:r>
        <w:rPr>
          <w:rFonts w:hint="eastAsia" w:ascii="宋体" w:hAnsi="宋体" w:eastAsia="宋体" w:cs="宋体"/>
          <w:sz w:val="28"/>
          <w:szCs w:val="28"/>
        </w:rPr>
        <w:t>七、生效时间</w:t>
      </w:r>
    </w:p>
    <w:p w14:paraId="5C9DF960">
      <w:pPr>
        <w:ind w:firstLine="560" w:firstLineChars="200"/>
        <w:rPr>
          <w:rFonts w:ascii="宋体" w:hAnsi="宋体" w:eastAsia="宋体" w:cs="宋体"/>
          <w:sz w:val="28"/>
          <w:szCs w:val="28"/>
        </w:rPr>
      </w:pPr>
      <w:r>
        <w:rPr>
          <w:rFonts w:hint="eastAsia" w:ascii="宋体" w:hAnsi="宋体" w:eastAsia="宋体" w:cs="宋体"/>
          <w:sz w:val="28"/>
          <w:szCs w:val="28"/>
        </w:rPr>
        <w:t>本合同一式两份，甲、乙双方各执一份（具有相同法律效力），合同自双方签字盖章之日起生效。</w:t>
      </w:r>
    </w:p>
    <w:p w14:paraId="5B797EF5">
      <w:pPr>
        <w:ind w:firstLine="560" w:firstLineChars="200"/>
        <w:rPr>
          <w:rFonts w:ascii="宋体" w:hAnsi="宋体" w:eastAsia="宋体" w:cs="宋体"/>
          <w:sz w:val="28"/>
          <w:szCs w:val="28"/>
        </w:rPr>
      </w:pPr>
    </w:p>
    <w:p w14:paraId="0D7C3F27">
      <w:pPr>
        <w:ind w:firstLine="560" w:firstLineChars="200"/>
        <w:rPr>
          <w:rFonts w:ascii="宋体" w:hAnsi="宋体" w:eastAsia="宋体" w:cs="宋体"/>
          <w:sz w:val="28"/>
          <w:szCs w:val="28"/>
        </w:rPr>
      </w:pPr>
      <w:r>
        <w:rPr>
          <w:rFonts w:hint="eastAsia" w:ascii="宋体" w:hAnsi="宋体" w:eastAsia="宋体" w:cs="宋体"/>
          <w:sz w:val="28"/>
          <w:szCs w:val="28"/>
        </w:rPr>
        <w:t xml:space="preserve">甲方代表（盖公章）：           乙方代表（盖公章）： </w:t>
      </w:r>
    </w:p>
    <w:p w14:paraId="160F7E2B">
      <w:pPr>
        <w:ind w:firstLine="560" w:firstLineChars="200"/>
        <w:rPr>
          <w:rFonts w:ascii="宋体" w:hAnsi="宋体" w:eastAsia="宋体" w:cs="宋体"/>
          <w:sz w:val="28"/>
          <w:szCs w:val="28"/>
        </w:rPr>
      </w:pPr>
      <w:r>
        <w:rPr>
          <w:rFonts w:hint="eastAsia" w:ascii="宋体" w:hAnsi="宋体" w:eastAsia="宋体" w:cs="宋体"/>
          <w:sz w:val="28"/>
          <w:szCs w:val="28"/>
        </w:rPr>
        <w:t xml:space="preserve">电话：                         电话：        </w:t>
      </w:r>
    </w:p>
    <w:p w14:paraId="463C7C1C">
      <w:pPr>
        <w:ind w:firstLine="560" w:firstLineChars="200"/>
        <w:rPr>
          <w:rFonts w:ascii="宋体" w:hAnsi="宋体" w:eastAsia="宋体" w:cs="宋体"/>
          <w:sz w:val="28"/>
          <w:szCs w:val="28"/>
        </w:rPr>
      </w:pPr>
      <w:r>
        <w:rPr>
          <w:rFonts w:hint="eastAsia" w:ascii="宋体" w:hAnsi="宋体" w:eastAsia="宋体" w:cs="宋体"/>
          <w:sz w:val="28"/>
          <w:szCs w:val="28"/>
        </w:rPr>
        <w:t xml:space="preserve">签字：                         签字：   </w:t>
      </w:r>
    </w:p>
    <w:p w14:paraId="40C8EA10">
      <w:pPr>
        <w:ind w:firstLine="560" w:firstLineChars="200"/>
        <w:rPr>
          <w:rFonts w:ascii="宋体" w:hAnsi="宋体" w:eastAsia="宋体" w:cs="宋体"/>
          <w:sz w:val="28"/>
          <w:szCs w:val="28"/>
        </w:rPr>
      </w:pPr>
      <w:r>
        <w:rPr>
          <w:rFonts w:hint="eastAsia" w:ascii="宋体" w:hAnsi="宋体" w:eastAsia="宋体" w:cs="宋体"/>
          <w:sz w:val="28"/>
          <w:szCs w:val="28"/>
        </w:rPr>
        <w:t>年   月   日                   年   月   日</w:t>
      </w:r>
    </w:p>
    <w:p w14:paraId="3B193CD0">
      <w:pPr>
        <w:rPr>
          <w:rFonts w:ascii="宋体" w:hAnsi="宋体" w:eastAsia="宋体" w:cs="宋体"/>
          <w:b/>
          <w:bCs/>
          <w:sz w:val="28"/>
          <w:szCs w:val="28"/>
        </w:rPr>
      </w:pPr>
      <w:r>
        <w:rPr>
          <w:rFonts w:hint="eastAsia" w:ascii="宋体" w:hAnsi="宋体" w:eastAsia="宋体" w:cs="宋体"/>
          <w:b/>
          <w:bCs/>
          <w:sz w:val="28"/>
          <w:szCs w:val="28"/>
        </w:rPr>
        <w:t>五、履约验收标准和方法</w:t>
      </w:r>
    </w:p>
    <w:p w14:paraId="10187B8D">
      <w:pPr>
        <w:ind w:firstLine="560" w:firstLineChars="200"/>
        <w:rPr>
          <w:rFonts w:ascii="宋体" w:hAnsi="宋体" w:eastAsia="宋体" w:cs="宋体"/>
          <w:sz w:val="28"/>
          <w:szCs w:val="28"/>
        </w:rPr>
      </w:pPr>
      <w:r>
        <w:rPr>
          <w:rFonts w:hint="eastAsia" w:ascii="宋体" w:hAnsi="宋体" w:eastAsia="宋体" w:cs="宋体"/>
          <w:sz w:val="28"/>
          <w:szCs w:val="28"/>
        </w:rPr>
        <w:t>1、履约验收时间：202</w:t>
      </w:r>
      <w:r>
        <w:rPr>
          <w:rFonts w:hint="eastAsia" w:ascii="宋体" w:hAnsi="宋体" w:eastAsia="宋体" w:cs="宋体"/>
          <w:sz w:val="28"/>
          <w:szCs w:val="28"/>
          <w:lang w:val="en-US" w:eastAsia="zh-CN"/>
        </w:rPr>
        <w:t>6</w:t>
      </w:r>
      <w:r>
        <w:rPr>
          <w:rFonts w:hint="eastAsia" w:ascii="宋体" w:hAnsi="宋体" w:eastAsia="宋体" w:cs="宋体"/>
          <w:sz w:val="28"/>
          <w:szCs w:val="28"/>
        </w:rPr>
        <w:t>年</w:t>
      </w:r>
      <w:r>
        <w:rPr>
          <w:rFonts w:hint="eastAsia" w:ascii="宋体" w:hAnsi="宋体" w:eastAsia="宋体" w:cs="宋体"/>
          <w:sz w:val="28"/>
          <w:szCs w:val="28"/>
          <w:lang w:val="en-US" w:eastAsia="zh-CN"/>
        </w:rPr>
        <w:t>12</w:t>
      </w:r>
      <w:r>
        <w:rPr>
          <w:rFonts w:hint="eastAsia" w:ascii="宋体" w:hAnsi="宋体" w:eastAsia="宋体" w:cs="宋体"/>
          <w:sz w:val="28"/>
          <w:szCs w:val="28"/>
        </w:rPr>
        <w:t>月</w:t>
      </w:r>
      <w:r>
        <w:rPr>
          <w:rFonts w:hint="eastAsia" w:ascii="宋体" w:hAnsi="宋体" w:eastAsia="宋体" w:cs="宋体"/>
          <w:sz w:val="28"/>
          <w:szCs w:val="28"/>
          <w:lang w:val="en-US" w:eastAsia="zh-CN"/>
        </w:rPr>
        <w:t>30</w:t>
      </w:r>
      <w:r>
        <w:rPr>
          <w:rFonts w:hint="eastAsia" w:ascii="宋体" w:hAnsi="宋体" w:eastAsia="宋体" w:cs="宋体"/>
          <w:sz w:val="28"/>
          <w:szCs w:val="28"/>
        </w:rPr>
        <w:t>日</w:t>
      </w:r>
    </w:p>
    <w:p w14:paraId="25AF7C8B">
      <w:pPr>
        <w:ind w:firstLine="840" w:firstLineChars="300"/>
        <w:rPr>
          <w:rFonts w:hint="eastAsia" w:ascii="宋体" w:hAnsi="宋体" w:eastAsia="宋体" w:cs="宋体"/>
          <w:b w:val="0"/>
          <w:bCs w:val="0"/>
          <w:sz w:val="28"/>
          <w:szCs w:val="28"/>
          <w:lang w:val="en-US" w:eastAsia="zh-CN"/>
        </w:rPr>
      </w:pPr>
      <w:r>
        <w:rPr>
          <w:rFonts w:hint="eastAsia" w:ascii="宋体" w:hAnsi="宋体" w:eastAsia="宋体" w:cs="宋体"/>
          <w:sz w:val="28"/>
          <w:szCs w:val="28"/>
        </w:rPr>
        <w:t>2、履约验收主体及内容：</w:t>
      </w:r>
      <w:r>
        <w:rPr>
          <w:rFonts w:hint="eastAsia" w:ascii="宋体" w:hAnsi="宋体" w:eastAsia="宋体" w:cs="宋体"/>
          <w:b w:val="0"/>
          <w:bCs w:val="0"/>
          <w:sz w:val="28"/>
          <w:szCs w:val="28"/>
          <w:lang w:val="en-US" w:eastAsia="zh-CN"/>
        </w:rPr>
        <w:t>2025年度重点项目绩效评价咨询服务项目，具体内容详见磋商文件。</w:t>
      </w:r>
    </w:p>
    <w:p w14:paraId="14AA3DC7">
      <w:pPr>
        <w:spacing w:line="520" w:lineRule="exact"/>
        <w:ind w:firstLine="560" w:firstLineChars="200"/>
        <w:rPr>
          <w:rFonts w:ascii="宋体" w:hAnsi="宋体" w:eastAsia="宋体" w:cs="宋体"/>
          <w:sz w:val="28"/>
          <w:szCs w:val="28"/>
        </w:rPr>
      </w:pPr>
      <w:r>
        <w:rPr>
          <w:rFonts w:hint="eastAsia" w:ascii="宋体" w:hAnsi="宋体" w:eastAsia="宋体" w:cs="宋体"/>
          <w:sz w:val="28"/>
          <w:szCs w:val="28"/>
        </w:rPr>
        <w:t>3、验收程序：</w:t>
      </w:r>
      <w:r>
        <w:rPr>
          <w:rFonts w:hint="eastAsia" w:ascii="宋体" w:hAnsi="宋体" w:eastAsia="宋体" w:cs="宋体"/>
          <w:sz w:val="28"/>
          <w:szCs w:val="28"/>
          <w:lang w:val="en-US" w:eastAsia="zh-CN"/>
        </w:rPr>
        <w:t>第三方公司</w:t>
      </w:r>
      <w:r>
        <w:rPr>
          <w:rFonts w:hint="eastAsia" w:ascii="宋体" w:hAnsi="宋体" w:eastAsia="宋体" w:cs="宋体"/>
          <w:sz w:val="28"/>
          <w:szCs w:val="28"/>
        </w:rPr>
        <w:t>应当严格按合同约定的内容提供</w:t>
      </w:r>
      <w:r>
        <w:rPr>
          <w:rFonts w:hint="eastAsia" w:ascii="宋体" w:hAnsi="宋体" w:eastAsia="宋体" w:cs="宋体"/>
          <w:sz w:val="28"/>
          <w:szCs w:val="28"/>
          <w:lang w:val="en-US" w:eastAsia="zh-CN"/>
        </w:rPr>
        <w:t>报告和</w:t>
      </w:r>
      <w:r>
        <w:rPr>
          <w:rFonts w:hint="eastAsia" w:ascii="宋体" w:hAnsi="宋体" w:eastAsia="宋体" w:cs="宋体"/>
          <w:sz w:val="28"/>
          <w:szCs w:val="28"/>
        </w:rPr>
        <w:t>服务。对</w:t>
      </w:r>
      <w:r>
        <w:rPr>
          <w:rFonts w:hint="eastAsia" w:ascii="宋体" w:hAnsi="宋体" w:eastAsia="宋体" w:cs="宋体"/>
          <w:sz w:val="28"/>
          <w:szCs w:val="28"/>
          <w:lang w:val="en-US" w:eastAsia="zh-CN"/>
        </w:rPr>
        <w:t>第三方公司</w:t>
      </w:r>
      <w:r>
        <w:rPr>
          <w:rFonts w:hint="eastAsia" w:ascii="宋体" w:hAnsi="宋体" w:eastAsia="宋体" w:cs="宋体"/>
          <w:sz w:val="28"/>
          <w:szCs w:val="28"/>
        </w:rPr>
        <w:t>所提供的</w:t>
      </w:r>
      <w:r>
        <w:rPr>
          <w:rFonts w:hint="eastAsia" w:ascii="宋体" w:hAnsi="宋体" w:eastAsia="宋体" w:cs="宋体"/>
          <w:sz w:val="28"/>
          <w:szCs w:val="28"/>
          <w:lang w:val="en-US" w:eastAsia="zh-CN"/>
        </w:rPr>
        <w:t>报告和</w:t>
      </w:r>
      <w:r>
        <w:rPr>
          <w:rFonts w:hint="eastAsia" w:ascii="宋体" w:hAnsi="宋体" w:eastAsia="宋体" w:cs="宋体"/>
          <w:sz w:val="28"/>
          <w:szCs w:val="28"/>
        </w:rPr>
        <w:t>服务组织相关人员进行测试，并对相关资料进行认真整理，做好验收准备。验收开始之前，由</w:t>
      </w:r>
      <w:r>
        <w:rPr>
          <w:rFonts w:hint="eastAsia" w:ascii="宋体" w:hAnsi="宋体" w:eastAsia="宋体" w:cs="宋体"/>
          <w:sz w:val="28"/>
          <w:szCs w:val="28"/>
          <w:lang w:val="en-US" w:eastAsia="zh-CN"/>
        </w:rPr>
        <w:t>乙方</w:t>
      </w:r>
      <w:r>
        <w:rPr>
          <w:rFonts w:hint="eastAsia" w:ascii="宋体" w:hAnsi="宋体" w:eastAsia="宋体" w:cs="宋体"/>
          <w:sz w:val="28"/>
          <w:szCs w:val="28"/>
        </w:rPr>
        <w:t>负责人介绍项目。在</w:t>
      </w:r>
      <w:r>
        <w:rPr>
          <w:rFonts w:hint="eastAsia" w:ascii="宋体" w:hAnsi="宋体" w:eastAsia="宋体" w:cs="宋体"/>
          <w:sz w:val="28"/>
          <w:szCs w:val="28"/>
          <w:lang w:val="en-US" w:eastAsia="zh-CN"/>
        </w:rPr>
        <w:t>第三方公司</w:t>
      </w:r>
      <w:r>
        <w:rPr>
          <w:rFonts w:hint="eastAsia" w:ascii="宋体" w:hAnsi="宋体" w:eastAsia="宋体" w:cs="宋体"/>
          <w:sz w:val="28"/>
          <w:szCs w:val="28"/>
        </w:rPr>
        <w:t>履约结束后，验收工作小组按照职责分工对照政府采购合同中验收有关事项和标准核对每项验收事项，并按照验收方案应及时组织验收。</w:t>
      </w:r>
    </w:p>
    <w:p w14:paraId="64B8A94D">
      <w:pPr>
        <w:ind w:firstLine="560" w:firstLineChars="200"/>
        <w:rPr>
          <w:rFonts w:ascii="宋体" w:hAnsi="宋体" w:eastAsia="宋体" w:cs="宋体"/>
          <w:sz w:val="28"/>
          <w:szCs w:val="28"/>
        </w:rPr>
      </w:pPr>
      <w:r>
        <w:rPr>
          <w:rFonts w:hint="eastAsia" w:ascii="宋体" w:hAnsi="宋体" w:eastAsia="宋体" w:cs="宋体"/>
          <w:sz w:val="28"/>
          <w:szCs w:val="28"/>
        </w:rPr>
        <w:t>4、履约验收标准：</w:t>
      </w:r>
    </w:p>
    <w:p w14:paraId="4A4665F7">
      <w:pPr>
        <w:ind w:firstLine="560" w:firstLineChars="200"/>
        <w:rPr>
          <w:rFonts w:hint="default" w:ascii="宋体" w:hAnsi="宋体" w:eastAsia="宋体" w:cs="宋体"/>
          <w:kern w:val="44"/>
          <w:sz w:val="28"/>
          <w:szCs w:val="28"/>
          <w:lang w:val="en-US" w:eastAsia="zh-CN"/>
        </w:rPr>
      </w:pPr>
      <w:r>
        <w:rPr>
          <w:rFonts w:hint="eastAsia" w:ascii="宋体" w:hAnsi="宋体" w:eastAsia="宋体" w:cs="宋体"/>
          <w:kern w:val="44"/>
          <w:sz w:val="28"/>
          <w:szCs w:val="28"/>
        </w:rPr>
        <w:t>根据</w:t>
      </w:r>
      <w:r>
        <w:rPr>
          <w:rFonts w:hint="eastAsia" w:ascii="宋体" w:hAnsi="宋体" w:eastAsia="宋体" w:cs="宋体"/>
          <w:kern w:val="44"/>
          <w:sz w:val="28"/>
          <w:szCs w:val="28"/>
          <w:lang w:eastAsia="zh-CN"/>
        </w:rPr>
        <w:t>绩效评价报告相关</w:t>
      </w:r>
      <w:r>
        <w:rPr>
          <w:rFonts w:hint="eastAsia" w:ascii="宋体" w:hAnsi="宋体" w:eastAsia="宋体" w:cs="宋体"/>
          <w:kern w:val="44"/>
          <w:sz w:val="28"/>
          <w:szCs w:val="28"/>
        </w:rPr>
        <w:t>要求，从</w:t>
      </w:r>
      <w:r>
        <w:rPr>
          <w:rFonts w:hint="eastAsia" w:ascii="宋体" w:hAnsi="宋体" w:eastAsia="宋体" w:cs="宋体"/>
          <w:kern w:val="44"/>
          <w:sz w:val="28"/>
          <w:szCs w:val="28"/>
          <w:lang w:eastAsia="zh-CN"/>
        </w:rPr>
        <w:t>内容方面进行查看，有无漏项缺项，并通过三重审核，严把绩效评价质量关。</w:t>
      </w:r>
    </w:p>
    <w:p w14:paraId="50459769">
      <w:pPr>
        <w:ind w:firstLine="560" w:firstLineChars="200"/>
        <w:rPr>
          <w:rFonts w:ascii="宋体" w:hAnsi="宋体" w:eastAsia="宋体" w:cs="宋体"/>
          <w:sz w:val="28"/>
          <w:szCs w:val="28"/>
        </w:rPr>
      </w:pPr>
      <w:r>
        <w:rPr>
          <w:rFonts w:hint="eastAsia" w:ascii="宋体" w:hAnsi="宋体" w:eastAsia="宋体" w:cs="宋体"/>
          <w:sz w:val="28"/>
          <w:szCs w:val="28"/>
        </w:rPr>
        <w:t>5、验收方式：由</w:t>
      </w:r>
      <w:r>
        <w:rPr>
          <w:rFonts w:hint="eastAsia" w:ascii="宋体" w:hAnsi="宋体" w:eastAsia="宋体" w:cs="宋体"/>
          <w:sz w:val="28"/>
          <w:szCs w:val="28"/>
          <w:lang w:val="en-US" w:eastAsia="zh-CN"/>
        </w:rPr>
        <w:t>甲方</w:t>
      </w:r>
      <w:r>
        <w:rPr>
          <w:rFonts w:hint="eastAsia" w:ascii="宋体" w:hAnsi="宋体" w:eastAsia="宋体" w:cs="宋体"/>
          <w:sz w:val="28"/>
          <w:szCs w:val="28"/>
        </w:rPr>
        <w:t>组织有关专业人员按相关的国家标准、质量标准和采购文件所列的各项要求进行验收。</w:t>
      </w:r>
    </w:p>
    <w:p w14:paraId="49DF07E6">
      <w:pPr>
        <w:rPr>
          <w:rFonts w:ascii="宋体" w:hAnsi="宋体" w:eastAsia="宋体" w:cs="宋体"/>
          <w:b/>
          <w:bCs/>
          <w:sz w:val="28"/>
          <w:szCs w:val="28"/>
        </w:rPr>
      </w:pPr>
      <w:r>
        <w:rPr>
          <w:rFonts w:hint="eastAsia" w:ascii="宋体" w:hAnsi="宋体" w:eastAsia="宋体" w:cs="宋体"/>
          <w:b/>
          <w:bCs/>
          <w:sz w:val="28"/>
          <w:szCs w:val="28"/>
        </w:rPr>
        <w:t>六、对</w:t>
      </w:r>
      <w:r>
        <w:rPr>
          <w:rFonts w:hint="eastAsia" w:ascii="宋体" w:hAnsi="宋体" w:eastAsia="宋体" w:cs="宋体"/>
          <w:b/>
          <w:bCs/>
          <w:sz w:val="28"/>
          <w:szCs w:val="28"/>
          <w:lang w:val="en-US" w:eastAsia="zh-CN"/>
        </w:rPr>
        <w:t>第三方公司</w:t>
      </w:r>
      <w:r>
        <w:rPr>
          <w:rFonts w:hint="eastAsia" w:ascii="宋体" w:hAnsi="宋体" w:eastAsia="宋体" w:cs="宋体"/>
          <w:b/>
          <w:bCs/>
          <w:sz w:val="28"/>
          <w:szCs w:val="28"/>
        </w:rPr>
        <w:t>的要求</w:t>
      </w:r>
    </w:p>
    <w:p w14:paraId="6E0F7CBB">
      <w:pPr>
        <w:tabs>
          <w:tab w:val="left" w:pos="756"/>
        </w:tabs>
        <w:ind w:firstLine="840" w:firstLineChars="300"/>
        <w:jc w:val="left"/>
        <w:rPr>
          <w:sz w:val="28"/>
          <w:szCs w:val="28"/>
        </w:rPr>
      </w:pPr>
      <w:r>
        <w:rPr>
          <w:rFonts w:hint="eastAsia"/>
          <w:sz w:val="28"/>
          <w:szCs w:val="28"/>
        </w:rPr>
        <w:t>1、在中华人民共和国境内注册的，具有独立法人资格的供应商；</w:t>
      </w:r>
    </w:p>
    <w:p w14:paraId="6741EF8D">
      <w:pPr>
        <w:tabs>
          <w:tab w:val="left" w:pos="756"/>
        </w:tabs>
        <w:ind w:firstLine="840" w:firstLineChars="300"/>
        <w:jc w:val="left"/>
        <w:rPr>
          <w:sz w:val="28"/>
          <w:szCs w:val="28"/>
        </w:rPr>
      </w:pPr>
      <w:r>
        <w:rPr>
          <w:rFonts w:hint="eastAsia"/>
          <w:sz w:val="28"/>
          <w:szCs w:val="28"/>
        </w:rPr>
        <w:t>2、具有良好的商业信誉和健全的财务会计制度；</w:t>
      </w:r>
    </w:p>
    <w:p w14:paraId="136A884C">
      <w:pPr>
        <w:tabs>
          <w:tab w:val="left" w:pos="756"/>
        </w:tabs>
        <w:ind w:firstLine="840" w:firstLineChars="300"/>
        <w:jc w:val="left"/>
        <w:rPr>
          <w:sz w:val="28"/>
          <w:szCs w:val="28"/>
        </w:rPr>
      </w:pPr>
      <w:r>
        <w:rPr>
          <w:rFonts w:hint="eastAsia"/>
          <w:sz w:val="28"/>
          <w:szCs w:val="28"/>
        </w:rPr>
        <w:t>3、具有履行合同所必须的专业技术能力；</w:t>
      </w:r>
    </w:p>
    <w:p w14:paraId="480D7A7F">
      <w:pPr>
        <w:tabs>
          <w:tab w:val="left" w:pos="756"/>
        </w:tabs>
        <w:ind w:firstLine="840" w:firstLineChars="300"/>
        <w:jc w:val="left"/>
        <w:rPr>
          <w:sz w:val="28"/>
          <w:szCs w:val="28"/>
        </w:rPr>
      </w:pPr>
      <w:r>
        <w:rPr>
          <w:rFonts w:hint="eastAsia"/>
          <w:sz w:val="28"/>
          <w:szCs w:val="28"/>
        </w:rPr>
        <w:t>4、有依法缴纳税收和社会保障资金的良好记录；</w:t>
      </w:r>
    </w:p>
    <w:p w14:paraId="127FA4C0">
      <w:pPr>
        <w:ind w:firstLine="840" w:firstLineChars="300"/>
        <w:rPr>
          <w:rFonts w:hint="eastAsia"/>
          <w:sz w:val="28"/>
          <w:szCs w:val="28"/>
        </w:rPr>
      </w:pPr>
      <w:r>
        <w:rPr>
          <w:rFonts w:hint="eastAsia"/>
          <w:sz w:val="28"/>
          <w:szCs w:val="28"/>
        </w:rPr>
        <w:t>5、参加本项政府采购活动前三年内，在经营活动中没有重大违法记录。</w:t>
      </w:r>
    </w:p>
    <w:p w14:paraId="38F11A2C">
      <w:pPr>
        <w:rPr>
          <w:rFonts w:ascii="宋体" w:hAnsi="宋体" w:eastAsia="宋体" w:cs="宋体"/>
          <w:b w:val="0"/>
          <w:bCs w:val="0"/>
          <w:color w:val="auto"/>
          <w:sz w:val="28"/>
          <w:szCs w:val="28"/>
        </w:rPr>
      </w:pPr>
      <w:r>
        <w:rPr>
          <w:rFonts w:hint="eastAsia" w:ascii="宋体" w:hAnsi="宋体" w:eastAsia="宋体" w:cs="宋体"/>
          <w:b/>
          <w:bCs/>
          <w:sz w:val="28"/>
          <w:szCs w:val="28"/>
        </w:rPr>
        <w:t>七、</w:t>
      </w:r>
      <w:r>
        <w:rPr>
          <w:rFonts w:hint="eastAsia" w:ascii="宋体" w:hAnsi="宋体" w:eastAsia="宋体" w:cs="宋体"/>
          <w:b/>
          <w:bCs/>
          <w:color w:val="auto"/>
          <w:sz w:val="28"/>
          <w:szCs w:val="28"/>
        </w:rPr>
        <w:t>付款方式：</w:t>
      </w:r>
      <w:r>
        <w:rPr>
          <w:rFonts w:hint="eastAsia" w:ascii="宋体" w:hAnsi="宋体" w:eastAsia="宋体" w:cs="宋体"/>
          <w:b w:val="0"/>
          <w:bCs w:val="0"/>
          <w:color w:val="auto"/>
          <w:sz w:val="28"/>
          <w:szCs w:val="28"/>
          <w:highlight w:val="none"/>
        </w:rPr>
        <w:t>双方签订合同后，乙方在规定时间，提交评价报告支付合同价款</w:t>
      </w:r>
      <w:r>
        <w:rPr>
          <w:rFonts w:hint="eastAsia" w:ascii="宋体" w:hAnsi="宋体" w:eastAsia="宋体" w:cs="宋体"/>
          <w:b w:val="0"/>
          <w:bCs w:val="0"/>
          <w:color w:val="auto"/>
          <w:sz w:val="28"/>
          <w:szCs w:val="28"/>
          <w:highlight w:val="none"/>
          <w:lang w:eastAsia="zh-CN"/>
        </w:rPr>
        <w:t>的</w:t>
      </w:r>
      <w:r>
        <w:rPr>
          <w:rFonts w:hint="eastAsia" w:ascii="宋体" w:hAnsi="宋体" w:eastAsia="宋体" w:cs="宋体"/>
          <w:b w:val="0"/>
          <w:bCs w:val="0"/>
          <w:color w:val="auto"/>
          <w:sz w:val="28"/>
          <w:szCs w:val="28"/>
          <w:highlight w:val="none"/>
        </w:rPr>
        <w:t>30%，因报告需要进行三重审核，待甲方审核定稿后支付合同价款</w:t>
      </w:r>
      <w:r>
        <w:rPr>
          <w:rFonts w:hint="eastAsia" w:ascii="宋体" w:hAnsi="宋体" w:eastAsia="宋体" w:cs="宋体"/>
          <w:b w:val="0"/>
          <w:bCs w:val="0"/>
          <w:color w:val="auto"/>
          <w:sz w:val="28"/>
          <w:szCs w:val="28"/>
          <w:highlight w:val="none"/>
          <w:lang w:eastAsia="zh-CN"/>
        </w:rPr>
        <w:t>的</w:t>
      </w:r>
      <w:r>
        <w:rPr>
          <w:rFonts w:hint="eastAsia" w:ascii="宋体" w:hAnsi="宋体" w:eastAsia="宋体" w:cs="宋体"/>
          <w:b w:val="0"/>
          <w:bCs w:val="0"/>
          <w:color w:val="auto"/>
          <w:sz w:val="28"/>
          <w:szCs w:val="28"/>
          <w:highlight w:val="none"/>
        </w:rPr>
        <w:t>50%，联评联审后付清余下工合同价款。</w:t>
      </w:r>
    </w:p>
    <w:p w14:paraId="64ED608C">
      <w:pPr>
        <w:spacing w:line="520" w:lineRule="exact"/>
        <w:rPr>
          <w:rFonts w:ascii="宋体" w:hAnsi="宋体" w:eastAsia="宋体" w:cs="宋体"/>
          <w:b/>
          <w:bCs/>
          <w:sz w:val="28"/>
          <w:szCs w:val="28"/>
        </w:rPr>
      </w:pPr>
      <w:r>
        <w:rPr>
          <w:rFonts w:hint="eastAsia" w:ascii="宋体" w:hAnsi="宋体" w:eastAsia="宋体" w:cs="宋体"/>
          <w:b/>
          <w:bCs/>
          <w:sz w:val="28"/>
          <w:szCs w:val="28"/>
        </w:rPr>
        <w:t>八、采购单位、采购单位地址、项目联系人及联系电话</w:t>
      </w:r>
    </w:p>
    <w:p w14:paraId="038A2714">
      <w:pPr>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rPr>
        <w:t xml:space="preserve">    1、采购单位：</w:t>
      </w:r>
      <w:r>
        <w:rPr>
          <w:rFonts w:hint="eastAsia" w:ascii="宋体" w:hAnsi="宋体" w:eastAsia="宋体" w:cs="宋体"/>
          <w:sz w:val="28"/>
          <w:szCs w:val="28"/>
          <w:lang w:eastAsia="zh-CN"/>
        </w:rPr>
        <w:t>府谷县财政绩效评价中心</w:t>
      </w:r>
    </w:p>
    <w:p w14:paraId="2AD8DA2B">
      <w:pPr>
        <w:spacing w:line="520" w:lineRule="exact"/>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2、采购单位地址：府谷</w:t>
      </w:r>
      <w:r>
        <w:rPr>
          <w:rFonts w:hint="eastAsia" w:ascii="宋体" w:hAnsi="宋体" w:eastAsia="宋体" w:cs="宋体"/>
          <w:sz w:val="28"/>
          <w:szCs w:val="28"/>
          <w:lang w:val="en-US" w:eastAsia="zh-CN"/>
        </w:rPr>
        <w:t>县</w:t>
      </w:r>
      <w:r>
        <w:rPr>
          <w:rFonts w:hint="eastAsia" w:ascii="宋体" w:hAnsi="宋体" w:eastAsia="宋体" w:cs="宋体"/>
          <w:sz w:val="28"/>
          <w:szCs w:val="28"/>
          <w:lang w:eastAsia="zh-CN"/>
        </w:rPr>
        <w:t>新区财税大楼</w:t>
      </w:r>
    </w:p>
    <w:p w14:paraId="097EF733">
      <w:p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rPr>
        <w:t>3、项目联系人：</w:t>
      </w:r>
      <w:r>
        <w:rPr>
          <w:rFonts w:hint="eastAsia" w:ascii="宋体" w:hAnsi="宋体" w:eastAsia="宋体" w:cs="宋体"/>
          <w:sz w:val="28"/>
          <w:szCs w:val="28"/>
          <w:lang w:eastAsia="zh-CN"/>
        </w:rPr>
        <w:t>高志平</w:t>
      </w: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联系电话：</w:t>
      </w:r>
      <w:r>
        <w:rPr>
          <w:rFonts w:hint="eastAsia" w:ascii="宋体" w:hAnsi="宋体" w:eastAsia="宋体" w:cs="宋体"/>
          <w:sz w:val="28"/>
          <w:szCs w:val="28"/>
          <w:lang w:val="en-US" w:eastAsia="zh-CN"/>
        </w:rPr>
        <w:t>15594236669</w:t>
      </w:r>
    </w:p>
    <w:p w14:paraId="5EEA373B">
      <w:pPr>
        <w:spacing w:line="520" w:lineRule="exact"/>
        <w:rPr>
          <w:rFonts w:hint="default" w:ascii="宋体" w:hAnsi="宋体" w:eastAsia="宋体" w:cs="宋体"/>
          <w:sz w:val="28"/>
          <w:szCs w:val="28"/>
          <w:lang w:val="en-US"/>
        </w:rPr>
      </w:pPr>
      <w:r>
        <w:rPr>
          <w:rFonts w:hint="eastAsia" w:ascii="宋体" w:hAnsi="宋体" w:eastAsia="宋体" w:cs="宋体"/>
          <w:sz w:val="28"/>
          <w:szCs w:val="28"/>
          <w:lang w:val="en-US" w:eastAsia="zh-CN"/>
        </w:rPr>
        <w:t xml:space="preserve">                  </w:t>
      </w:r>
    </w:p>
    <w:p w14:paraId="711B7FC5">
      <w:pPr>
        <w:pStyle w:val="3"/>
        <w:rPr>
          <w:rFonts w:ascii="宋体" w:hAnsi="宋体" w:eastAsia="宋体" w:cs="宋体"/>
          <w:sz w:val="28"/>
          <w:szCs w:val="28"/>
        </w:rPr>
      </w:pPr>
    </w:p>
    <w:p w14:paraId="0C439C20"/>
    <w:p w14:paraId="76AE0AAA">
      <w:pPr>
        <w:tabs>
          <w:tab w:val="left" w:pos="756"/>
        </w:tabs>
        <w:ind w:right="280" w:firstLine="4760" w:firstLineChars="1700"/>
        <w:jc w:val="left"/>
        <w:rPr>
          <w:rFonts w:hint="eastAsia" w:ascii="宋体" w:hAnsi="宋体" w:eastAsia="宋体" w:cs="宋体"/>
          <w:sz w:val="28"/>
          <w:szCs w:val="28"/>
          <w:lang w:eastAsia="zh-CN"/>
        </w:rPr>
      </w:pPr>
      <w:r>
        <w:rPr>
          <w:rFonts w:hint="eastAsia" w:ascii="宋体" w:hAnsi="宋体" w:eastAsia="宋体" w:cs="宋体"/>
          <w:sz w:val="28"/>
          <w:szCs w:val="28"/>
          <w:lang w:eastAsia="zh-CN"/>
        </w:rPr>
        <w:t>府谷县财政绩效评价中心</w:t>
      </w:r>
    </w:p>
    <w:p w14:paraId="1C57EE24">
      <w:pPr>
        <w:pStyle w:val="3"/>
        <w:ind w:firstLine="5320" w:firstLineChars="1900"/>
      </w:pPr>
      <w:r>
        <w:rPr>
          <w:rFonts w:hint="eastAsia" w:ascii="宋体" w:hAnsi="宋体" w:eastAsia="宋体" w:cs="宋体"/>
          <w:sz w:val="28"/>
          <w:szCs w:val="28"/>
          <w:lang w:val="en-US" w:eastAsia="zh-CN"/>
        </w:rPr>
        <w:t>2026年7月30日</w:t>
      </w:r>
    </w:p>
    <w:p w14:paraId="1F5AE84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816ACF"/>
    <w:multiLevelType w:val="singleLevel"/>
    <w:tmpl w:val="D8816ACF"/>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hiZTc5NmVmM2IyZGMwNDk0ZjVkNzczYTJhZDg1N2MifQ=="/>
  </w:docVars>
  <w:rsids>
    <w:rsidRoot w:val="6D293A61"/>
    <w:rsid w:val="00087D24"/>
    <w:rsid w:val="00091746"/>
    <w:rsid w:val="001C6049"/>
    <w:rsid w:val="00232F51"/>
    <w:rsid w:val="003A786A"/>
    <w:rsid w:val="00426F36"/>
    <w:rsid w:val="006B3D0D"/>
    <w:rsid w:val="007017BE"/>
    <w:rsid w:val="007978F3"/>
    <w:rsid w:val="00805A4D"/>
    <w:rsid w:val="0082400D"/>
    <w:rsid w:val="00927671"/>
    <w:rsid w:val="00A16F77"/>
    <w:rsid w:val="00C727B2"/>
    <w:rsid w:val="00DC6EDD"/>
    <w:rsid w:val="01E73F1D"/>
    <w:rsid w:val="022526E0"/>
    <w:rsid w:val="039C1CB3"/>
    <w:rsid w:val="03EC461B"/>
    <w:rsid w:val="03EE5241"/>
    <w:rsid w:val="04021626"/>
    <w:rsid w:val="051D7B45"/>
    <w:rsid w:val="070D5785"/>
    <w:rsid w:val="07557397"/>
    <w:rsid w:val="08B35707"/>
    <w:rsid w:val="09620644"/>
    <w:rsid w:val="0A5B1966"/>
    <w:rsid w:val="10307F6D"/>
    <w:rsid w:val="12A45AE8"/>
    <w:rsid w:val="1329217F"/>
    <w:rsid w:val="155A6D52"/>
    <w:rsid w:val="160C2CF4"/>
    <w:rsid w:val="16D136A0"/>
    <w:rsid w:val="19CD4470"/>
    <w:rsid w:val="1AE73BE5"/>
    <w:rsid w:val="1B847CD3"/>
    <w:rsid w:val="1E3F425C"/>
    <w:rsid w:val="22C850E1"/>
    <w:rsid w:val="230F7587"/>
    <w:rsid w:val="25526D0D"/>
    <w:rsid w:val="25A7536E"/>
    <w:rsid w:val="29B73A5E"/>
    <w:rsid w:val="2C1D7507"/>
    <w:rsid w:val="2C8B0AF9"/>
    <w:rsid w:val="306453B6"/>
    <w:rsid w:val="346D1CC9"/>
    <w:rsid w:val="347F1359"/>
    <w:rsid w:val="375F6D7F"/>
    <w:rsid w:val="39225214"/>
    <w:rsid w:val="3A1C6923"/>
    <w:rsid w:val="3A57009B"/>
    <w:rsid w:val="3AAE3FFC"/>
    <w:rsid w:val="3B5A714C"/>
    <w:rsid w:val="3BD01C67"/>
    <w:rsid w:val="3C8A1AE4"/>
    <w:rsid w:val="3EE75A46"/>
    <w:rsid w:val="3F5B6102"/>
    <w:rsid w:val="41DE1F5A"/>
    <w:rsid w:val="4286657F"/>
    <w:rsid w:val="46F863D2"/>
    <w:rsid w:val="4B42618B"/>
    <w:rsid w:val="4B4B4D50"/>
    <w:rsid w:val="4C010669"/>
    <w:rsid w:val="4D674441"/>
    <w:rsid w:val="4DEB3BCE"/>
    <w:rsid w:val="4E933ACF"/>
    <w:rsid w:val="51255F55"/>
    <w:rsid w:val="56AA0DEE"/>
    <w:rsid w:val="598B6A2E"/>
    <w:rsid w:val="5FE84771"/>
    <w:rsid w:val="613470C2"/>
    <w:rsid w:val="61576419"/>
    <w:rsid w:val="624B0394"/>
    <w:rsid w:val="62F513B7"/>
    <w:rsid w:val="643B7006"/>
    <w:rsid w:val="65FE229C"/>
    <w:rsid w:val="664507E5"/>
    <w:rsid w:val="66A23715"/>
    <w:rsid w:val="6D293A61"/>
    <w:rsid w:val="719A7B9B"/>
    <w:rsid w:val="729268DC"/>
    <w:rsid w:val="72996C81"/>
    <w:rsid w:val="72E97F75"/>
    <w:rsid w:val="73507CB9"/>
    <w:rsid w:val="73DE632B"/>
    <w:rsid w:val="785C51D2"/>
    <w:rsid w:val="78A729E0"/>
    <w:rsid w:val="7965421C"/>
    <w:rsid w:val="7A1B6D49"/>
    <w:rsid w:val="7AB112F9"/>
    <w:rsid w:val="7CCC6031"/>
    <w:rsid w:val="7D3A0309"/>
    <w:rsid w:val="7D8D5603"/>
    <w:rsid w:val="7DC7324D"/>
    <w:rsid w:val="7E0471DB"/>
    <w:rsid w:val="7F242E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line="576" w:lineRule="auto"/>
      <w:outlineLvl w:val="0"/>
    </w:pPr>
    <w:rPr>
      <w:kern w:val="44"/>
      <w:sz w:val="44"/>
      <w:szCs w:val="44"/>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1"/>
    <w:qFormat/>
    <w:uiPriority w:val="0"/>
  </w:style>
  <w:style w:type="paragraph" w:styleId="4">
    <w:name w:val="footer"/>
    <w:basedOn w:val="1"/>
    <w:link w:val="12"/>
    <w:qFormat/>
    <w:uiPriority w:val="0"/>
    <w:pPr>
      <w:tabs>
        <w:tab w:val="center" w:pos="4153"/>
        <w:tab w:val="right" w:pos="8306"/>
      </w:tabs>
      <w:snapToGrid w:val="0"/>
      <w:jc w:val="left"/>
    </w:pPr>
    <w:rPr>
      <w:sz w:val="18"/>
      <w:szCs w:val="18"/>
    </w:rPr>
  </w:style>
  <w:style w:type="paragraph" w:styleId="5">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6">
    <w:name w:val="Body Text First Indent"/>
    <w:basedOn w:val="3"/>
    <w:qFormat/>
    <w:uiPriority w:val="0"/>
    <w:pPr>
      <w:ind w:firstLine="420" w:firstLineChars="100"/>
    </w:p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
    <w:name w:val="正文缩进1"/>
    <w:basedOn w:val="1"/>
    <w:qFormat/>
    <w:uiPriority w:val="0"/>
    <w:pPr>
      <w:ind w:firstLine="420" w:firstLineChars="200"/>
    </w:pPr>
  </w:style>
  <w:style w:type="character" w:customStyle="1" w:styleId="11">
    <w:name w:val="页眉 Char"/>
    <w:basedOn w:val="9"/>
    <w:link w:val="5"/>
    <w:qFormat/>
    <w:uiPriority w:val="0"/>
    <w:rPr>
      <w:rFonts w:asciiTheme="minorHAnsi" w:hAnsiTheme="minorHAnsi" w:eastAsiaTheme="minorEastAsia" w:cstheme="minorBidi"/>
      <w:kern w:val="2"/>
      <w:sz w:val="18"/>
      <w:szCs w:val="18"/>
    </w:rPr>
  </w:style>
  <w:style w:type="character" w:customStyle="1" w:styleId="12">
    <w:name w:val="页脚 Char"/>
    <w:basedOn w:val="9"/>
    <w:link w:val="4"/>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2167</Words>
  <Characters>2503</Characters>
  <Lines>20</Lines>
  <Paragraphs>5</Paragraphs>
  <TotalTime>119</TotalTime>
  <ScaleCrop>false</ScaleCrop>
  <LinksUpToDate>false</LinksUpToDate>
  <CharactersWithSpaces>2659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2021-08-06T07:08:00Z</dcterms:created>
  <dc:creator>温柔一刀</dc:creator>
  <cp:lastModifiedBy>孙小彦</cp:lastModifiedBy>
  <dcterms:modified xsi:type="dcterms:W3CDTF">2026-07-30T08:23:13Z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3299A3E02EDD4DBBA523CA50DE674DB2_13</vt:lpwstr>
  </property>
  <property fmtid="{D5CDD505-2E9C-101B-9397-08002B2CF9AE}" pid="4" name="KSOTemplateDocerSaveRecord">
    <vt:lpwstr>eyJoZGlkIjoiNmQwMDQ3MTliYmRlYzI4NzlkOGQyMWM3ZWJkMDRhYzUiLCJ1c2VySWQiOiIzMTAzMTE1ODEifQ==</vt:lpwstr>
  </property>
</Properties>
</file>