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版本号：XACH2026-106、CGZC-2026-14720260826001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相约进博·2026西安浐灞国际港招商引资推介活动项目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XACH2026-106、CGZC-2026-147</w:t>
      </w:r>
      <w:r>
        <w:br/>
      </w:r>
      <w:r>
        <w:br/>
      </w:r>
      <w:r>
        <w:br/>
      </w:r>
    </w:p>
    <w:p>
      <w:pPr>
        <w:pStyle w:val="null3"/>
        <w:jc w:val="center"/>
        <w:outlineLvl w:val="2"/>
      </w:pPr>
      <w:r>
        <w:rPr>
          <w:rFonts w:ascii="仿宋_GB2312" w:hAnsi="仿宋_GB2312" w:cs="仿宋_GB2312" w:eastAsia="仿宋_GB2312"/>
          <w:sz w:val="28"/>
          <w:b/>
        </w:rPr>
        <w:t>西安浐灞国际港招商与投资服务二局</w:t>
      </w:r>
    </w:p>
    <w:p>
      <w:pPr>
        <w:pStyle w:val="null3"/>
        <w:jc w:val="center"/>
        <w:outlineLvl w:val="2"/>
      </w:pPr>
      <w:r>
        <w:rPr>
          <w:rFonts w:ascii="仿宋_GB2312" w:hAnsi="仿宋_GB2312" w:cs="仿宋_GB2312" w:eastAsia="仿宋_GB2312"/>
          <w:sz w:val="28"/>
          <w:b/>
        </w:rPr>
        <w:t>西安辰和工程咨询有限公司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西安辰和工程咨询有限公司</w:t>
      </w:r>
      <w:r>
        <w:rPr>
          <w:rFonts w:ascii="仿宋_GB2312" w:hAnsi="仿宋_GB2312" w:cs="仿宋_GB2312" w:eastAsia="仿宋_GB2312"/>
        </w:rPr>
        <w:t>（以下简称“代理机构”）受</w:t>
      </w:r>
      <w:r>
        <w:rPr>
          <w:rFonts w:ascii="仿宋_GB2312" w:hAnsi="仿宋_GB2312" w:cs="仿宋_GB2312" w:eastAsia="仿宋_GB2312"/>
        </w:rPr>
        <w:t>西安浐灞国际港招商与投资服务二局</w:t>
      </w:r>
      <w:r>
        <w:rPr>
          <w:rFonts w:ascii="仿宋_GB2312" w:hAnsi="仿宋_GB2312" w:cs="仿宋_GB2312" w:eastAsia="仿宋_GB2312"/>
        </w:rPr>
        <w:t>委托，拟对</w:t>
      </w:r>
      <w:r>
        <w:rPr>
          <w:rFonts w:ascii="仿宋_GB2312" w:hAnsi="仿宋_GB2312" w:cs="仿宋_GB2312" w:eastAsia="仿宋_GB2312"/>
        </w:rPr>
        <w:t>相约进博·2026西安浐灞国际港招商引资推介活动项目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XACH2026-106、CGZC-2026-147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相约进博·2026西安浐灞国际港招商引资推介活动项目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相约进博·2026西安浐灞国际港招商引资推介活动。</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采购包1（相约进博·2026西安浐灞国际港招商引资推介活动项目）：属于专门面向中小企业采购。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具有独立承担民事责任的能力：供应商应具有独立承担民事责任的能力且具备向采购人提供服务的企业法人、其他组织或者自然人，企业法人应提供统一社会信用代码的营业执照；其他组织应提供合法证明文件；自然人提供身份证明文件；供应商需在项目电子化交易系统中按要求上传相应证明文件并进行电子签章。</w:t>
      </w:r>
    </w:p>
    <w:p>
      <w:pPr>
        <w:pStyle w:val="null3"/>
      </w:pPr>
      <w:r>
        <w:rPr>
          <w:rFonts w:ascii="仿宋_GB2312" w:hAnsi="仿宋_GB2312" w:cs="仿宋_GB2312" w:eastAsia="仿宋_GB2312"/>
        </w:rPr>
        <w:t>2、供应商应授权合法的人员参加磋商全过程：法定代表人授权委托书（附法定代表人身份证复印件）及被授权委托人身份证复印件，并提供被授权委托人在本单位缴纳社保的证明材料（法定代表人参加投标只需提供法定代表人身份证复印件）；供应商需在项目电子化交易系统中按要求上传相应证明文件并进行电子签章；</w:t>
      </w:r>
    </w:p>
    <w:p>
      <w:pPr>
        <w:pStyle w:val="null3"/>
      </w:pPr>
      <w:r>
        <w:rPr>
          <w:rFonts w:ascii="仿宋_GB2312" w:hAnsi="仿宋_GB2312" w:cs="仿宋_GB2312" w:eastAsia="仿宋_GB2312"/>
        </w:rPr>
        <w:t>3、供应商基本资格条件承诺函：供应商须满足《中华人民共和国政府采购法》第二十二条规定（提供承诺函）；供应商需在项目电子化交易系统中按要求上传相应证明文件并进行电子签章。</w:t>
      </w:r>
    </w:p>
    <w:p>
      <w:pPr>
        <w:pStyle w:val="null3"/>
      </w:pPr>
      <w:r>
        <w:rPr>
          <w:rFonts w:ascii="仿宋_GB2312" w:hAnsi="仿宋_GB2312" w:cs="仿宋_GB2312" w:eastAsia="仿宋_GB2312"/>
        </w:rPr>
        <w:t>4、非联合体磋商：非联合体磋商声明；供应商需在项目电子化交易系统中按要求上传相应证明文件并进行电子签章。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西安浐灞国际港招商与投资服务二局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西安浐灞国际港港务大道6号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谢老师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029-83332402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西安辰和工程咨询有限公司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西安高新区锦业路59号高科智慧园B座四层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刘娜娜、单云</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029-82285837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西安浐灞国际港财政金融局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侯老师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029-83521198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采购包1：830,000.00元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由成交供应商支付代理服务费，代理服务费参照《国家计委关于印发&lt;招标代理服务收费管理暂行办法&gt;的通知》（计价格〔2002〕1980号）和发改办价格〔2003〕857号以及发改价格〔2011〕534号文中规定的标准执行，按差额定率累进法收取费用，100万以下按1.5%收取 。</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西安浐灞国际港招商与投资服务二局</w:t>
      </w:r>
      <w:r>
        <w:rPr>
          <w:rFonts w:ascii="仿宋_GB2312" w:hAnsi="仿宋_GB2312" w:cs="仿宋_GB2312" w:eastAsia="仿宋_GB2312"/>
        </w:rPr>
        <w:t>和</w:t>
      </w:r>
      <w:r>
        <w:rPr>
          <w:rFonts w:ascii="仿宋_GB2312" w:hAnsi="仿宋_GB2312" w:cs="仿宋_GB2312" w:eastAsia="仿宋_GB2312"/>
        </w:rPr>
        <w:t>西安辰和工程咨询有限公司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西安浐灞国际港招商与投资服务二局</w:t>
      </w:r>
      <w:r>
        <w:rPr>
          <w:rFonts w:ascii="仿宋_GB2312" w:hAnsi="仿宋_GB2312" w:cs="仿宋_GB2312" w:eastAsia="仿宋_GB2312"/>
        </w:rPr>
        <w:t>负责解释。除上述磋商文件内容，其他内容由</w:t>
      </w:r>
      <w:r>
        <w:rPr>
          <w:rFonts w:ascii="仿宋_GB2312" w:hAnsi="仿宋_GB2312" w:cs="仿宋_GB2312" w:eastAsia="仿宋_GB2312"/>
        </w:rPr>
        <w:t>西安辰和工程咨询有限公司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西安浐灞国际港招商与投资服务二局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西安辰和工程咨询有限公司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达到竞争性磋商文件及国家规定的“合格”标准。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西安辰和工程咨询有限公司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西安辰和工程咨询有限公司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西安辰和工程咨询有限公司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联系人：刘娜娜</w:t>
      </w:r>
    </w:p>
    <w:p>
      <w:pPr>
        <w:pStyle w:val="null3"/>
      </w:pPr>
      <w:r>
        <w:rPr>
          <w:rFonts w:ascii="仿宋_GB2312" w:hAnsi="仿宋_GB2312" w:cs="仿宋_GB2312" w:eastAsia="仿宋_GB2312"/>
        </w:rPr>
        <w:t>联系电话：029-82285837</w:t>
      </w:r>
    </w:p>
    <w:p>
      <w:pPr>
        <w:pStyle w:val="null3"/>
      </w:pPr>
      <w:r>
        <w:rPr>
          <w:rFonts w:ascii="仿宋_GB2312" w:hAnsi="仿宋_GB2312" w:cs="仿宋_GB2312" w:eastAsia="仿宋_GB2312"/>
        </w:rPr>
        <w:t>地址：西安高新区锦业路59号高科智慧园B座四层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相约进博·2026西安浐灞国际港招商引资推介活动</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830,000.00</w:t>
      </w:r>
    </w:p>
    <w:p>
      <w:pPr>
        <w:pStyle w:val="null3"/>
      </w:pPr>
      <w:r>
        <w:rPr>
          <w:rFonts w:ascii="仿宋_GB2312" w:hAnsi="仿宋_GB2312" w:cs="仿宋_GB2312" w:eastAsia="仿宋_GB2312"/>
        </w:rPr>
        <w:t>采购包最高限价（元）: 830,000.00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相约进博·2026西安浐灞国际港招商引资推介活动项目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830,000.00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标的名称：相约进博·2026西安浐灞国际港招商引资推介活动项目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8"/>
                <w:b/>
                <w:color w:val="000000"/>
              </w:rPr>
              <w:t>一、项目概况</w:t>
            </w:r>
          </w:p>
          <w:p>
            <w:pPr>
              <w:pStyle w:val="null3"/>
              <w:ind w:firstLine="560"/>
              <w:jc w:val="both"/>
            </w:pPr>
            <w:r>
              <w:rPr>
                <w:rFonts w:ascii="仿宋_GB2312" w:hAnsi="仿宋_GB2312" w:cs="仿宋_GB2312" w:eastAsia="仿宋_GB2312"/>
                <w:sz w:val="28"/>
              </w:rPr>
              <w:t>为充分借助第九届中国国际进口博览会客商云集、资源汇聚优势，发挥对外开放平台作用，加大双招双引工作力</w:t>
            </w:r>
            <w:r>
              <w:rPr>
                <w:rFonts w:ascii="仿宋_GB2312" w:hAnsi="仿宋_GB2312" w:cs="仿宋_GB2312" w:eastAsia="仿宋_GB2312"/>
                <w:sz w:val="28"/>
              </w:rPr>
              <w:t>度，</w:t>
            </w:r>
            <w:r>
              <w:rPr>
                <w:rFonts w:ascii="仿宋_GB2312" w:hAnsi="仿宋_GB2312" w:cs="仿宋_GB2312" w:eastAsia="仿宋_GB2312"/>
                <w:sz w:val="28"/>
              </w:rPr>
              <w:t>加快中欧班列经济圈建设，西安浐灞国际港拟在上海举办</w:t>
            </w:r>
            <w:r>
              <w:rPr>
                <w:rFonts w:ascii="仿宋_GB2312" w:hAnsi="仿宋_GB2312" w:cs="仿宋_GB2312" w:eastAsia="仿宋_GB2312"/>
                <w:sz w:val="28"/>
              </w:rPr>
              <w:t>“相约进博•2026西安浐灞国际港专项招商推介会”。活动坚持以展招商、以会促谈、以谈促落，</w:t>
            </w:r>
            <w:r>
              <w:rPr>
                <w:rFonts w:ascii="仿宋_GB2312" w:hAnsi="仿宋_GB2312" w:cs="仿宋_GB2312" w:eastAsia="仿宋_GB2312"/>
                <w:sz w:val="28"/>
              </w:rPr>
              <w:t>重点</w:t>
            </w:r>
            <w:r>
              <w:rPr>
                <w:rFonts w:ascii="仿宋_GB2312" w:hAnsi="仿宋_GB2312" w:cs="仿宋_GB2312" w:eastAsia="仿宋_GB2312"/>
                <w:sz w:val="28"/>
              </w:rPr>
              <w:t>面向海内外龙头企业、外向型优质企业</w:t>
            </w:r>
            <w:r>
              <w:rPr>
                <w:rFonts w:ascii="仿宋_GB2312" w:hAnsi="仿宋_GB2312" w:cs="仿宋_GB2312" w:eastAsia="仿宋_GB2312"/>
                <w:sz w:val="28"/>
              </w:rPr>
              <w:t>精准</w:t>
            </w:r>
            <w:r>
              <w:rPr>
                <w:rFonts w:ascii="仿宋_GB2312" w:hAnsi="仿宋_GB2312" w:cs="仿宋_GB2312" w:eastAsia="仿宋_GB2312"/>
                <w:sz w:val="28"/>
              </w:rPr>
              <w:t>推介</w:t>
            </w:r>
            <w:r>
              <w:rPr>
                <w:rFonts w:ascii="仿宋_GB2312" w:hAnsi="仿宋_GB2312" w:cs="仿宋_GB2312" w:eastAsia="仿宋_GB2312"/>
                <w:sz w:val="28"/>
              </w:rPr>
              <w:t>区域</w:t>
            </w:r>
            <w:r>
              <w:rPr>
                <w:rFonts w:ascii="仿宋_GB2312" w:hAnsi="仿宋_GB2312" w:cs="仿宋_GB2312" w:eastAsia="仿宋_GB2312"/>
                <w:sz w:val="28"/>
              </w:rPr>
              <w:t>区位、产业载体及中欧班列物流通道优势，搭建政企对接、产业协作、项目洽谈平台，拓宽招商渠道、储备优质产业项目，持续提升区域对外开放影响力。为保障本次推介会高标准举办，现对活动全流程会务服务进行采购，服务内容包含重要嘉宾邀约、嘉宾接待保障、会场搭建布置、现场会务保障、媒体宣传等相关工作。</w:t>
            </w:r>
          </w:p>
          <w:p>
            <w:pPr>
              <w:pStyle w:val="null3"/>
              <w:jc w:val="both"/>
            </w:pPr>
            <w:r>
              <w:rPr>
                <w:rFonts w:ascii="仿宋_GB2312" w:hAnsi="仿宋_GB2312" w:cs="仿宋_GB2312" w:eastAsia="仿宋_GB2312"/>
                <w:sz w:val="28"/>
                <w:b/>
                <w:color w:val="000000"/>
              </w:rPr>
              <w:t>二、服务内容</w:t>
            </w:r>
          </w:p>
          <w:p>
            <w:pPr>
              <w:pStyle w:val="null3"/>
              <w:ind w:firstLine="280"/>
              <w:jc w:val="both"/>
            </w:pPr>
            <w:r>
              <w:rPr>
                <w:rFonts w:ascii="仿宋_GB2312" w:hAnsi="仿宋_GB2312" w:cs="仿宋_GB2312" w:eastAsia="仿宋_GB2312"/>
                <w:sz w:val="28"/>
                <w:color w:val="000000"/>
              </w:rPr>
              <w:t>（一）负责推介活动策划并形成整体方案，确定会议组织架构，明确会议指导、主办、承办和协办单位；</w:t>
            </w:r>
          </w:p>
          <w:p>
            <w:pPr>
              <w:pStyle w:val="null3"/>
              <w:ind w:firstLine="280"/>
              <w:jc w:val="both"/>
            </w:pPr>
            <w:r>
              <w:rPr>
                <w:rFonts w:ascii="仿宋_GB2312" w:hAnsi="仿宋_GB2312" w:cs="仿宋_GB2312" w:eastAsia="仿宋_GB2312"/>
                <w:sz w:val="28"/>
                <w:color w:val="000000"/>
              </w:rPr>
              <w:t>（二）负责邀约重要参会嘉宾，统筹对接国内外</w:t>
            </w:r>
            <w:r>
              <w:rPr>
                <w:rFonts w:ascii="仿宋_GB2312" w:hAnsi="仿宋_GB2312" w:cs="仿宋_GB2312" w:eastAsia="仿宋_GB2312"/>
                <w:sz w:val="28"/>
                <w:color w:val="000000"/>
              </w:rPr>
              <w:t>500强企业、行业领军企业高管，境外驻华经贸机构代表，国际商协会负责人及行业权威专家等；为意向合作企业提供进博会观展、商务对接配套服务，总体会议规模不少于60人；</w:t>
            </w:r>
          </w:p>
          <w:p>
            <w:pPr>
              <w:pStyle w:val="null3"/>
              <w:ind w:firstLine="280"/>
              <w:jc w:val="both"/>
            </w:pPr>
            <w:r>
              <w:rPr>
                <w:rFonts w:ascii="仿宋_GB2312" w:hAnsi="仿宋_GB2312" w:cs="仿宋_GB2312" w:eastAsia="仿宋_GB2312"/>
                <w:sz w:val="28"/>
                <w:color w:val="000000"/>
              </w:rPr>
              <w:t>（三）负责</w:t>
            </w:r>
            <w:r>
              <w:rPr>
                <w:rFonts w:ascii="仿宋_GB2312" w:hAnsi="仿宋_GB2312" w:cs="仿宋_GB2312" w:eastAsia="仿宋_GB2312"/>
                <w:sz w:val="28"/>
                <w:color w:val="000000"/>
              </w:rPr>
              <w:t>制定重要嘉宾接待方案，明确接待保障内容，做好重要嘉宾、外籍嘉宾和企业家的往返交通、住宿餐饮等服务保障工作</w:t>
            </w:r>
            <w:r>
              <w:rPr>
                <w:rFonts w:ascii="仿宋_GB2312" w:hAnsi="仿宋_GB2312" w:cs="仿宋_GB2312" w:eastAsia="仿宋_GB2312"/>
                <w:sz w:val="28"/>
                <w:color w:val="000000"/>
              </w:rPr>
              <w:t>；</w:t>
            </w:r>
          </w:p>
          <w:p>
            <w:pPr>
              <w:pStyle w:val="null3"/>
              <w:ind w:firstLine="280"/>
            </w:pPr>
            <w:r>
              <w:rPr>
                <w:rFonts w:ascii="仿宋_GB2312" w:hAnsi="仿宋_GB2312" w:cs="仿宋_GB2312" w:eastAsia="仿宋_GB2312"/>
                <w:sz w:val="28"/>
              </w:rPr>
              <w:t>（四）负责会议会场的保障工作，包含会场、接待室、茶歇等内容；负责会场搭建，包含展示区、舞台、大屏、音响、灯光、展板等设施设备租赁、搭建撤展等；</w:t>
            </w:r>
          </w:p>
          <w:p>
            <w:pPr>
              <w:pStyle w:val="null3"/>
              <w:ind w:firstLine="280"/>
            </w:pPr>
            <w:r>
              <w:rPr>
                <w:rFonts w:ascii="仿宋_GB2312" w:hAnsi="仿宋_GB2312" w:cs="仿宋_GB2312" w:eastAsia="仿宋_GB2312"/>
                <w:sz w:val="28"/>
              </w:rPr>
              <w:t>（五）负责会务服务相关工作，包含会场服务保障人员，场内技术人员，彩排及流程把控，会务物资物料等；</w:t>
            </w:r>
          </w:p>
          <w:p>
            <w:pPr>
              <w:pStyle w:val="null3"/>
              <w:ind w:firstLine="280"/>
            </w:pPr>
            <w:r>
              <w:rPr>
                <w:rFonts w:ascii="仿宋_GB2312" w:hAnsi="仿宋_GB2312" w:cs="仿宋_GB2312" w:eastAsia="仿宋_GB2312"/>
                <w:sz w:val="28"/>
              </w:rPr>
              <w:t>（六）负责全媒体全域宣传推广矩阵运营服务。搭建央媒、省市主流媒体、涉外双语媒体、行业垂直媒体立体化宣传渠道，同步开展现场图文实时直播、会后深度报道传播。</w:t>
            </w:r>
          </w:p>
          <w:p>
            <w:pPr>
              <w:pStyle w:val="null3"/>
              <w:jc w:val="both"/>
            </w:pPr>
            <w:r>
              <w:rPr>
                <w:rFonts w:ascii="仿宋_GB2312" w:hAnsi="仿宋_GB2312" w:cs="仿宋_GB2312" w:eastAsia="仿宋_GB2312"/>
                <w:sz w:val="28"/>
                <w:b/>
                <w:color w:val="000000"/>
              </w:rPr>
              <w:t>三、技术要求</w:t>
            </w:r>
          </w:p>
          <w:p>
            <w:pPr>
              <w:pStyle w:val="null3"/>
              <w:ind w:firstLine="280"/>
            </w:pPr>
            <w:r>
              <w:rPr>
                <w:rFonts w:ascii="仿宋_GB2312" w:hAnsi="仿宋_GB2312" w:cs="仿宋_GB2312" w:eastAsia="仿宋_GB2312"/>
                <w:sz w:val="28"/>
                <w:color w:val="000000"/>
              </w:rPr>
              <w:t>（一）理解项目背景、活动需求、目标和原则制定策划方案；</w:t>
            </w:r>
          </w:p>
          <w:p>
            <w:pPr>
              <w:pStyle w:val="null3"/>
              <w:ind w:firstLine="280"/>
            </w:pPr>
            <w:r>
              <w:rPr>
                <w:rFonts w:ascii="仿宋_GB2312" w:hAnsi="仿宋_GB2312" w:cs="仿宋_GB2312" w:eastAsia="仿宋_GB2312"/>
                <w:sz w:val="28"/>
                <w:color w:val="000000"/>
              </w:rPr>
              <w:t>（二）根据项目具体情况制定</w:t>
            </w:r>
            <w:r>
              <w:rPr>
                <w:rFonts w:ascii="仿宋_GB2312" w:hAnsi="仿宋_GB2312" w:cs="仿宋_GB2312" w:eastAsia="仿宋_GB2312"/>
                <w:sz w:val="28"/>
                <w:color w:val="000000"/>
              </w:rPr>
              <w:t>计划</w:t>
            </w:r>
            <w:r>
              <w:rPr>
                <w:rFonts w:ascii="仿宋_GB2312" w:hAnsi="仿宋_GB2312" w:cs="仿宋_GB2312" w:eastAsia="仿宋_GB2312"/>
                <w:sz w:val="28"/>
                <w:color w:val="000000"/>
              </w:rPr>
              <w:t>，实施方案详细、合理、全面并具有特色亮点；</w:t>
            </w:r>
          </w:p>
          <w:p>
            <w:pPr>
              <w:pStyle w:val="null3"/>
              <w:ind w:firstLine="280"/>
            </w:pPr>
            <w:r>
              <w:rPr>
                <w:rFonts w:ascii="仿宋_GB2312" w:hAnsi="仿宋_GB2312" w:cs="仿宋_GB2312" w:eastAsia="仿宋_GB2312"/>
                <w:sz w:val="28"/>
                <w:color w:val="000000"/>
              </w:rPr>
              <w:t>（三）明确物料素材的制作标准，包括图像分辨率、尺寸、规格等；</w:t>
            </w:r>
          </w:p>
          <w:p>
            <w:pPr>
              <w:pStyle w:val="null3"/>
              <w:ind w:firstLine="280"/>
            </w:pPr>
            <w:r>
              <w:rPr>
                <w:rFonts w:ascii="仿宋_GB2312" w:hAnsi="仿宋_GB2312" w:cs="仿宋_GB2312" w:eastAsia="仿宋_GB2312"/>
                <w:sz w:val="28"/>
                <w:color w:val="000000"/>
              </w:rPr>
              <w:t>（四）提供详细的项目实施进度表，列出每个阶段的起止时间，确保各项任务按时完成；</w:t>
            </w:r>
          </w:p>
          <w:p>
            <w:pPr>
              <w:pStyle w:val="null3"/>
              <w:ind w:firstLine="280"/>
            </w:pPr>
            <w:r>
              <w:rPr>
                <w:rFonts w:ascii="仿宋_GB2312" w:hAnsi="仿宋_GB2312" w:cs="仿宋_GB2312" w:eastAsia="仿宋_GB2312"/>
                <w:sz w:val="28"/>
                <w:color w:val="000000"/>
              </w:rPr>
              <w:t>（五）确保相约进博</w:t>
            </w:r>
            <w:r>
              <w:rPr>
                <w:rFonts w:ascii="仿宋_GB2312" w:hAnsi="仿宋_GB2312" w:cs="仿宋_GB2312" w:eastAsia="仿宋_GB2312"/>
                <w:sz w:val="28"/>
                <w:color w:val="000000"/>
              </w:rPr>
              <w:t>·</w:t>
            </w:r>
            <w:r>
              <w:rPr>
                <w:rFonts w:ascii="仿宋_GB2312" w:hAnsi="仿宋_GB2312" w:cs="仿宋_GB2312" w:eastAsia="仿宋_GB2312"/>
                <w:sz w:val="28"/>
                <w:color w:val="000000"/>
              </w:rPr>
              <w:t>2026</w:t>
            </w:r>
            <w:r>
              <w:rPr>
                <w:rFonts w:ascii="仿宋_GB2312" w:hAnsi="仿宋_GB2312" w:cs="仿宋_GB2312" w:eastAsia="仿宋_GB2312"/>
                <w:sz w:val="28"/>
                <w:color w:val="000000"/>
              </w:rPr>
              <w:t>西安浐灞国际港招商引资推介活动的工作符合相关法律法规及行业标准；</w:t>
            </w:r>
          </w:p>
          <w:p>
            <w:pPr>
              <w:pStyle w:val="null3"/>
              <w:ind w:firstLine="280"/>
            </w:pPr>
            <w:r>
              <w:rPr>
                <w:rFonts w:ascii="仿宋_GB2312" w:hAnsi="仿宋_GB2312" w:cs="仿宋_GB2312" w:eastAsia="仿宋_GB2312"/>
                <w:sz w:val="28"/>
                <w:color w:val="000000"/>
              </w:rPr>
              <w:t>（六）确保使用的所有素材（如图片、文字等）均无侵权行为；</w:t>
            </w:r>
          </w:p>
          <w:p>
            <w:pPr>
              <w:pStyle w:val="null3"/>
              <w:ind w:firstLine="280"/>
            </w:pPr>
            <w:r>
              <w:rPr>
                <w:rFonts w:ascii="仿宋_GB2312" w:hAnsi="仿宋_GB2312" w:cs="仿宋_GB2312" w:eastAsia="仿宋_GB2312"/>
                <w:sz w:val="28"/>
                <w:color w:val="000000"/>
              </w:rPr>
              <w:t>（七）制定应急预案，以应对突发事件（如天气原因、人为破坏问题等）。</w:t>
            </w:r>
          </w:p>
          <w:p>
            <w:pPr>
              <w:pStyle w:val="null3"/>
              <w:jc w:val="both"/>
            </w:pPr>
            <w:r>
              <w:rPr>
                <w:rFonts w:ascii="仿宋_GB2312" w:hAnsi="仿宋_GB2312" w:cs="仿宋_GB2312" w:eastAsia="仿宋_GB2312"/>
                <w:sz w:val="28"/>
                <w:b/>
                <w:color w:val="000000"/>
              </w:rPr>
              <w:t>四、</w:t>
            </w:r>
            <w:r>
              <w:rPr>
                <w:rFonts w:ascii="仿宋_GB2312" w:hAnsi="仿宋_GB2312" w:cs="仿宋_GB2312" w:eastAsia="仿宋_GB2312"/>
                <w:sz w:val="28"/>
                <w:b/>
                <w:color w:val="000000"/>
              </w:rPr>
              <w:t>服务要求</w:t>
            </w:r>
          </w:p>
          <w:p>
            <w:pPr>
              <w:pStyle w:val="null3"/>
              <w:ind w:firstLine="280"/>
            </w:pPr>
            <w:r>
              <w:rPr>
                <w:rFonts w:ascii="仿宋_GB2312" w:hAnsi="仿宋_GB2312" w:cs="仿宋_GB2312" w:eastAsia="仿宋_GB2312"/>
                <w:sz w:val="28"/>
                <w:color w:val="000000"/>
              </w:rPr>
              <w:t>（一）详细描述服务的具体范围和任务，</w:t>
            </w:r>
            <w:r>
              <w:rPr>
                <w:rFonts w:ascii="仿宋_GB2312" w:hAnsi="仿宋_GB2312" w:cs="仿宋_GB2312" w:eastAsia="仿宋_GB2312"/>
                <w:sz w:val="28"/>
                <w:color w:val="000000"/>
              </w:rPr>
              <w:t>明确活动目的意义，提高认识站位；</w:t>
            </w:r>
          </w:p>
          <w:p>
            <w:pPr>
              <w:pStyle w:val="null3"/>
              <w:ind w:firstLine="280"/>
            </w:pPr>
            <w:r>
              <w:rPr>
                <w:rFonts w:ascii="仿宋_GB2312" w:hAnsi="仿宋_GB2312" w:cs="仿宋_GB2312" w:eastAsia="仿宋_GB2312"/>
                <w:sz w:val="28"/>
                <w:color w:val="000000"/>
              </w:rPr>
              <w:t>（二）制定质量考核指标，</w:t>
            </w:r>
            <w:r>
              <w:rPr>
                <w:rFonts w:ascii="仿宋_GB2312" w:hAnsi="仿宋_GB2312" w:cs="仿宋_GB2312" w:eastAsia="仿宋_GB2312"/>
                <w:sz w:val="28"/>
                <w:color w:val="000000"/>
              </w:rPr>
              <w:t>提高</w:t>
            </w:r>
            <w:r>
              <w:rPr>
                <w:rFonts w:ascii="仿宋_GB2312" w:hAnsi="仿宋_GB2312" w:cs="仿宋_GB2312" w:eastAsia="仿宋_GB2312"/>
                <w:sz w:val="28"/>
                <w:color w:val="000000"/>
              </w:rPr>
              <w:t>服务满意度调查</w:t>
            </w:r>
            <w:r>
              <w:rPr>
                <w:rFonts w:ascii="仿宋_GB2312" w:hAnsi="仿宋_GB2312" w:cs="仿宋_GB2312" w:eastAsia="仿宋_GB2312"/>
                <w:sz w:val="28"/>
                <w:color w:val="000000"/>
              </w:rPr>
              <w:t>度</w:t>
            </w:r>
            <w:r>
              <w:rPr>
                <w:rFonts w:ascii="仿宋_GB2312" w:hAnsi="仿宋_GB2312" w:cs="仿宋_GB2312" w:eastAsia="仿宋_GB2312"/>
                <w:sz w:val="28"/>
                <w:color w:val="000000"/>
              </w:rPr>
              <w:t>；项目完成的准确率、及时率等应符合要求</w:t>
            </w:r>
            <w:r>
              <w:rPr>
                <w:rFonts w:ascii="仿宋_GB2312" w:hAnsi="仿宋_GB2312" w:cs="仿宋_GB2312" w:eastAsia="仿宋_GB2312"/>
                <w:sz w:val="28"/>
                <w:color w:val="000000"/>
              </w:rPr>
              <w:t>；</w:t>
            </w:r>
          </w:p>
          <w:p>
            <w:pPr>
              <w:pStyle w:val="null3"/>
              <w:ind w:firstLine="280"/>
            </w:pPr>
            <w:r>
              <w:rPr>
                <w:rFonts w:ascii="仿宋_GB2312" w:hAnsi="仿宋_GB2312" w:cs="仿宋_GB2312" w:eastAsia="仿宋_GB2312"/>
                <w:sz w:val="28"/>
                <w:color w:val="000000"/>
              </w:rPr>
              <w:t>（三）明确</w:t>
            </w:r>
            <w:r>
              <w:rPr>
                <w:rFonts w:ascii="仿宋_GB2312" w:hAnsi="仿宋_GB2312" w:cs="仿宋_GB2312" w:eastAsia="仿宋_GB2312"/>
                <w:sz w:val="28"/>
                <w:color w:val="000000"/>
              </w:rPr>
              <w:t>工作</w:t>
            </w:r>
            <w:r>
              <w:rPr>
                <w:rFonts w:ascii="仿宋_GB2312" w:hAnsi="仿宋_GB2312" w:cs="仿宋_GB2312" w:eastAsia="仿宋_GB2312"/>
                <w:sz w:val="28"/>
                <w:color w:val="000000"/>
              </w:rPr>
              <w:t>人员资质和数量要求，确保相约进博</w:t>
            </w:r>
            <w:r>
              <w:rPr>
                <w:rFonts w:ascii="仿宋_GB2312" w:hAnsi="仿宋_GB2312" w:cs="仿宋_GB2312" w:eastAsia="仿宋_GB2312"/>
                <w:sz w:val="28"/>
                <w:color w:val="000000"/>
              </w:rPr>
              <w:t>·</w:t>
            </w:r>
            <w:r>
              <w:rPr>
                <w:rFonts w:ascii="仿宋_GB2312" w:hAnsi="仿宋_GB2312" w:cs="仿宋_GB2312" w:eastAsia="仿宋_GB2312"/>
                <w:sz w:val="28"/>
                <w:color w:val="000000"/>
              </w:rPr>
              <w:t>2026</w:t>
            </w:r>
            <w:r>
              <w:rPr>
                <w:rFonts w:ascii="仿宋_GB2312" w:hAnsi="仿宋_GB2312" w:cs="仿宋_GB2312" w:eastAsia="仿宋_GB2312"/>
                <w:sz w:val="28"/>
                <w:color w:val="000000"/>
              </w:rPr>
              <w:t>西安浐灞国际港招商引资推介活动项目的有效管理和协调</w:t>
            </w:r>
            <w:r>
              <w:rPr>
                <w:rFonts w:ascii="仿宋_GB2312" w:hAnsi="仿宋_GB2312" w:cs="仿宋_GB2312" w:eastAsia="仿宋_GB2312"/>
                <w:sz w:val="28"/>
                <w:color w:val="000000"/>
              </w:rPr>
              <w:t>；</w:t>
            </w:r>
          </w:p>
          <w:p>
            <w:pPr>
              <w:pStyle w:val="null3"/>
              <w:ind w:firstLine="280"/>
            </w:pPr>
            <w:r>
              <w:rPr>
                <w:rFonts w:ascii="仿宋_GB2312" w:hAnsi="仿宋_GB2312" w:cs="仿宋_GB2312" w:eastAsia="仿宋_GB2312"/>
                <w:sz w:val="28"/>
                <w:color w:val="000000"/>
              </w:rPr>
              <w:t>（四）安排专人在全天各时段不间断巡查</w:t>
            </w:r>
            <w:r>
              <w:rPr>
                <w:rFonts w:ascii="仿宋_GB2312" w:hAnsi="仿宋_GB2312" w:cs="仿宋_GB2312" w:eastAsia="仿宋_GB2312"/>
                <w:sz w:val="28"/>
                <w:color w:val="000000"/>
              </w:rPr>
              <w:t>监管</w:t>
            </w:r>
            <w:r>
              <w:rPr>
                <w:rFonts w:ascii="仿宋_GB2312" w:hAnsi="仿宋_GB2312" w:cs="仿宋_GB2312" w:eastAsia="仿宋_GB2312"/>
                <w:sz w:val="28"/>
                <w:color w:val="000000"/>
              </w:rPr>
              <w:t>，</w:t>
            </w:r>
            <w:r>
              <w:rPr>
                <w:rFonts w:ascii="仿宋_GB2312" w:hAnsi="仿宋_GB2312" w:cs="仿宋_GB2312" w:eastAsia="仿宋_GB2312"/>
                <w:sz w:val="28"/>
                <w:color w:val="000000"/>
              </w:rPr>
              <w:t>确保第一时间发现问题并解决问题</w:t>
            </w:r>
            <w:r>
              <w:rPr>
                <w:rFonts w:ascii="仿宋_GB2312" w:hAnsi="仿宋_GB2312" w:cs="仿宋_GB2312" w:eastAsia="仿宋_GB2312"/>
                <w:sz w:val="28"/>
                <w:color w:val="000000"/>
              </w:rPr>
              <w:t>；</w:t>
            </w:r>
          </w:p>
          <w:p>
            <w:pPr>
              <w:pStyle w:val="null3"/>
              <w:ind w:firstLine="280"/>
            </w:pPr>
            <w:r>
              <w:rPr>
                <w:rFonts w:ascii="仿宋_GB2312" w:hAnsi="仿宋_GB2312" w:cs="仿宋_GB2312" w:eastAsia="仿宋_GB2312"/>
                <w:sz w:val="28"/>
                <w:color w:val="000000"/>
              </w:rPr>
              <w:t>（五）对于涉及敏感信息的</w:t>
            </w:r>
            <w:r>
              <w:rPr>
                <w:rFonts w:ascii="仿宋_GB2312" w:hAnsi="仿宋_GB2312" w:cs="仿宋_GB2312" w:eastAsia="仿宋_GB2312"/>
                <w:sz w:val="28"/>
                <w:color w:val="000000"/>
              </w:rPr>
              <w:t>内容</w:t>
            </w:r>
            <w:r>
              <w:rPr>
                <w:rFonts w:ascii="仿宋_GB2312" w:hAnsi="仿宋_GB2312" w:cs="仿宋_GB2312" w:eastAsia="仿宋_GB2312"/>
                <w:sz w:val="28"/>
                <w:color w:val="000000"/>
              </w:rPr>
              <w:t>，应明确保密义务和违约责任，确保信息安全。</w:t>
            </w:r>
          </w:p>
          <w:p>
            <w:pPr>
              <w:pStyle w:val="null3"/>
            </w:pPr>
            <w:r>
              <w:rPr>
                <w:rFonts w:ascii="仿宋_GB2312" w:hAnsi="仿宋_GB2312" w:cs="仿宋_GB2312" w:eastAsia="仿宋_GB2312"/>
                <w:sz w:val="28"/>
                <w:b/>
                <w:color w:val="000000"/>
              </w:rPr>
              <w:t>五、商务要求</w:t>
            </w:r>
          </w:p>
          <w:p>
            <w:pPr>
              <w:pStyle w:val="null3"/>
              <w:ind w:firstLine="280"/>
            </w:pPr>
            <w:r>
              <w:rPr>
                <w:rFonts w:ascii="仿宋_GB2312" w:hAnsi="仿宋_GB2312" w:cs="仿宋_GB2312" w:eastAsia="仿宋_GB2312"/>
                <w:sz w:val="28"/>
                <w:color w:val="000000"/>
              </w:rPr>
              <w:t>（一）</w:t>
            </w:r>
            <w:r>
              <w:rPr>
                <w:rFonts w:ascii="仿宋_GB2312" w:hAnsi="仿宋_GB2312" w:cs="仿宋_GB2312" w:eastAsia="仿宋_GB2312"/>
                <w:sz w:val="28"/>
                <w:color w:val="000000"/>
              </w:rPr>
              <w:t>服务期：合同签订之日起</w:t>
            </w:r>
            <w:r>
              <w:rPr>
                <w:rFonts w:ascii="仿宋_GB2312" w:hAnsi="仿宋_GB2312" w:cs="仿宋_GB2312" w:eastAsia="仿宋_GB2312"/>
                <w:sz w:val="28"/>
                <w:color w:val="000000"/>
              </w:rPr>
              <w:t>5</w:t>
            </w:r>
            <w:r>
              <w:rPr>
                <w:rFonts w:ascii="仿宋_GB2312" w:hAnsi="仿宋_GB2312" w:cs="仿宋_GB2312" w:eastAsia="仿宋_GB2312"/>
                <w:sz w:val="28"/>
                <w:color w:val="000000"/>
              </w:rPr>
              <w:t>日内，完成活动方案编制并提交采购人审核；大会举办前</w:t>
            </w:r>
            <w:r>
              <w:rPr>
                <w:rFonts w:ascii="仿宋_GB2312" w:hAnsi="仿宋_GB2312" w:cs="仿宋_GB2312" w:eastAsia="仿宋_GB2312"/>
                <w:sz w:val="28"/>
                <w:color w:val="000000"/>
              </w:rPr>
              <w:t>1</w:t>
            </w:r>
            <w:r>
              <w:rPr>
                <w:rFonts w:ascii="仿宋_GB2312" w:hAnsi="仿宋_GB2312" w:cs="仿宋_GB2312" w:eastAsia="仿宋_GB2312"/>
                <w:sz w:val="28"/>
                <w:color w:val="000000"/>
              </w:rPr>
              <w:t>日，完成全部场地搭建、布置调试工作；活动结束后，</w:t>
            </w:r>
            <w:r>
              <w:rPr>
                <w:rFonts w:ascii="仿宋_GB2312" w:hAnsi="仿宋_GB2312" w:cs="仿宋_GB2312" w:eastAsia="仿宋_GB2312"/>
                <w:sz w:val="28"/>
                <w:color w:val="000000"/>
              </w:rPr>
              <w:t>成交人</w:t>
            </w:r>
            <w:r>
              <w:rPr>
                <w:rFonts w:ascii="仿宋_GB2312" w:hAnsi="仿宋_GB2312" w:cs="仿宋_GB2312" w:eastAsia="仿宋_GB2312"/>
                <w:sz w:val="28"/>
                <w:color w:val="000000"/>
              </w:rPr>
              <w:t>须及时完成搭建物拆除、场地清理、垃圾清运，恢复场地原貌。</w:t>
            </w:r>
          </w:p>
          <w:p>
            <w:pPr>
              <w:pStyle w:val="null3"/>
              <w:ind w:firstLine="280"/>
            </w:pPr>
            <w:r>
              <w:rPr>
                <w:rFonts w:ascii="仿宋_GB2312" w:hAnsi="仿宋_GB2312" w:cs="仿宋_GB2312" w:eastAsia="仿宋_GB2312"/>
                <w:sz w:val="28"/>
                <w:color w:val="000000"/>
              </w:rPr>
              <w:t>（二）项目实施地点：国家会展中心上海洲际酒店。</w:t>
            </w:r>
          </w:p>
          <w:p>
            <w:pPr>
              <w:pStyle w:val="null3"/>
              <w:ind w:firstLine="280"/>
            </w:pPr>
            <w:r>
              <w:rPr>
                <w:rFonts w:ascii="仿宋_GB2312" w:hAnsi="仿宋_GB2312" w:cs="仿宋_GB2312" w:eastAsia="仿宋_GB2312"/>
                <w:sz w:val="28"/>
                <w:color w:val="000000"/>
              </w:rPr>
              <w:t>（</w:t>
            </w:r>
            <w:r>
              <w:rPr>
                <w:rFonts w:ascii="仿宋_GB2312" w:hAnsi="仿宋_GB2312" w:cs="仿宋_GB2312" w:eastAsia="仿宋_GB2312"/>
                <w:sz w:val="28"/>
                <w:color w:val="000000"/>
              </w:rPr>
              <w:t>三</w:t>
            </w:r>
            <w:r>
              <w:rPr>
                <w:rFonts w:ascii="仿宋_GB2312" w:hAnsi="仿宋_GB2312" w:cs="仿宋_GB2312" w:eastAsia="仿宋_GB2312"/>
                <w:sz w:val="28"/>
                <w:color w:val="000000"/>
              </w:rPr>
              <w:t>）</w:t>
            </w:r>
            <w:r>
              <w:rPr>
                <w:rFonts w:ascii="仿宋_GB2312" w:hAnsi="仿宋_GB2312" w:cs="仿宋_GB2312" w:eastAsia="仿宋_GB2312"/>
                <w:sz w:val="28"/>
                <w:color w:val="000000"/>
              </w:rPr>
              <w:t>活动时间</w:t>
            </w:r>
            <w:r>
              <w:rPr>
                <w:rFonts w:ascii="仿宋_GB2312" w:hAnsi="仿宋_GB2312" w:cs="仿宋_GB2312" w:eastAsia="仿宋_GB2312"/>
                <w:sz w:val="28"/>
                <w:color w:val="000000"/>
              </w:rPr>
              <w:t>：</w:t>
            </w:r>
            <w:r>
              <w:rPr>
                <w:rFonts w:ascii="仿宋_GB2312" w:hAnsi="仿宋_GB2312" w:cs="仿宋_GB2312" w:eastAsia="仿宋_GB2312"/>
                <w:sz w:val="28"/>
                <w:color w:val="000000"/>
              </w:rPr>
              <w:t>2026年11月6日</w:t>
            </w:r>
            <w:r>
              <w:rPr>
                <w:rFonts w:ascii="仿宋_GB2312" w:hAnsi="仿宋_GB2312" w:cs="仿宋_GB2312" w:eastAsia="仿宋_GB2312"/>
                <w:sz w:val="28"/>
                <w:color w:val="000000"/>
              </w:rPr>
              <w:t>当天。</w:t>
            </w:r>
          </w:p>
          <w:p>
            <w:pPr>
              <w:pStyle w:val="null3"/>
            </w:pPr>
            <w:r>
              <w:rPr>
                <w:rFonts w:ascii="仿宋_GB2312" w:hAnsi="仿宋_GB2312" w:cs="仿宋_GB2312" w:eastAsia="仿宋_GB2312"/>
                <w:sz w:val="28"/>
              </w:rPr>
              <w:t>时间地点</w:t>
            </w:r>
            <w:r>
              <w:rPr>
                <w:rFonts w:ascii="仿宋_GB2312" w:hAnsi="仿宋_GB2312" w:cs="仿宋_GB2312" w:eastAsia="仿宋_GB2312"/>
                <w:sz w:val="28"/>
              </w:rPr>
              <w:t>如有变动以</w:t>
            </w:r>
            <w:r>
              <w:rPr>
                <w:rFonts w:ascii="仿宋_GB2312" w:hAnsi="仿宋_GB2312" w:cs="仿宋_GB2312" w:eastAsia="仿宋_GB2312"/>
                <w:sz w:val="28"/>
              </w:rPr>
              <w:t>采购人</w:t>
            </w:r>
            <w:r>
              <w:rPr>
                <w:rFonts w:ascii="仿宋_GB2312" w:hAnsi="仿宋_GB2312" w:cs="仿宋_GB2312" w:eastAsia="仿宋_GB2312"/>
                <w:sz w:val="28"/>
              </w:rPr>
              <w:t>通知为准。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按照项目需求配置。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详见采购内容</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1、验收标准：①交付的服务必须等同或优于本项目采购文件“服务内容及要求”所述的标准。 ②中标（成交）供应商完成并交付的工作成果需经采购人验收合格，则视为接受。如果在验收时采购人表明不接受中标（成交）供应商提交的工作成果并明示不接受的原因，中标供应商应当采取合理之措施进行修改，以达到合同规定的要求。2、验收依据：合同文本、竞争性磋商文件和竞争性磋商响应文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进度款，自本合同签订之日起，成交人开具等额增值税发票，采购人支付总费用的40%作为项目预付款，达到付款条件起10个工作日内，支付合同总金额的40.0%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进度款，待成交人场地搭建完成后，成交人开具等额增值税发票，采购人支付总费用的30%作为项目进度款，达到付款条件起10个工作日内，支付合同总金额的30.0%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进度款，项目完成后，成交人提交结案资料，开具等额增值税发票，采购人于收到发票后15个工作日内向成交人支付剩余30%款项，达到付款条件起10个工作日内，支付合同总金额的30.0%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违约责任：详见合同。 解决争议的方法：双方本着友好合作的态度,对合同履行过程中发生的纠纷应及时协商解决,协商不成，向采购人所在地人民法院诉讼解决。</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磋商报价为完成本项目磋商文件中所提出的工作范围及要求的全部内容，并达到国家及采购人验收标准而产生的费用，包括但不限于活动组织费、场地租赁费、人员费用、设备费、宣传费、场地搭建及拆除费、物料费、会议服务费、翻译费、招标代理服务费、管理费、利润、税金、风险等所需的全部费用。任何错报、漏报由供应商自行负责。 3.4.2本项目属于专门面向中小企业采购，供应商应为中小企业或监狱企业或残疾人福利性单位。采购标的对应的所属行业：其他未列明行业。从业人员300人以下的为中小微型企业。其中，从业人员100人及以上的为中型企业；从业人员10人及以上的为小型企业；从业人员10人以下的为微型企业。 3.4.3纸质文件要求成交供应商在领取成交通知书时须向代理机构提供纸质版磋商响应文件正本壹份，副本叁份，电子版（U盘）贰份。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 【采购标的对应的中小企业划分标准所属行业： 其他未列明行业。从业人员300人以下的为中小微型企业。其中，从业人员100人及以上的为中型企业；从业人员10人及以上的为小型企业；从业人员10人以下的为微型企业。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供应商具有独立承担民事责任的能力</w:t>
            </w:r>
          </w:p>
        </w:tc>
        <w:tc>
          <w:tcPr>
            <w:tcW w:type="dxa" w:w="3322"/>
          </w:tcPr>
          <w:p>
            <w:pPr>
              <w:pStyle w:val="null3"/>
            </w:pPr>
            <w:r>
              <w:rPr>
                <w:rFonts w:ascii="仿宋_GB2312" w:hAnsi="仿宋_GB2312" w:cs="仿宋_GB2312" w:eastAsia="仿宋_GB2312"/>
              </w:rPr>
              <w:t>供应商应具有独立承担民事责任的能力且具备向采购人提供服务的企业法人、其他组织或者自然人，企业法人应提供统一社会信用代码的营业执照；其他组织应提供合法证明文件；自然人提供身份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供应商应授权合法的人员参加磋商全过程</w:t>
            </w:r>
          </w:p>
        </w:tc>
        <w:tc>
          <w:tcPr>
            <w:tcW w:type="dxa" w:w="3322"/>
          </w:tcPr>
          <w:p>
            <w:pPr>
              <w:pStyle w:val="null3"/>
            </w:pPr>
            <w:r>
              <w:rPr>
                <w:rFonts w:ascii="仿宋_GB2312" w:hAnsi="仿宋_GB2312" w:cs="仿宋_GB2312" w:eastAsia="仿宋_GB2312"/>
              </w:rPr>
              <w:t>法定代表人授权委托书（附法定代表人身份证复印件）及被授权委托人身份证复印件，并提供被授权委托人在本单位缴纳社保的证明材料（法定代表人参加投标只需提供法定代表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供应商基本资格条件承诺函</w:t>
            </w:r>
          </w:p>
        </w:tc>
        <w:tc>
          <w:tcPr>
            <w:tcW w:type="dxa" w:w="3322"/>
          </w:tcPr>
          <w:p>
            <w:pPr>
              <w:pStyle w:val="null3"/>
            </w:pPr>
            <w:r>
              <w:rPr>
                <w:rFonts w:ascii="仿宋_GB2312" w:hAnsi="仿宋_GB2312" w:cs="仿宋_GB2312" w:eastAsia="仿宋_GB2312"/>
              </w:rPr>
              <w:t>供应商须满足《中华人民共和国政府采购法》第二十二条规定（提供承诺函）；供应商需在项目电子化交易系统中按要求上传相应证明文件并进行电子签章。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非联合体磋商</w:t>
            </w:r>
          </w:p>
        </w:tc>
        <w:tc>
          <w:tcPr>
            <w:tcW w:type="dxa" w:w="3322"/>
          </w:tcPr>
          <w:p>
            <w:pPr>
              <w:pStyle w:val="null3"/>
            </w:pPr>
            <w:r>
              <w:rPr>
                <w:rFonts w:ascii="仿宋_GB2312" w:hAnsi="仿宋_GB2312" w:cs="仿宋_GB2312" w:eastAsia="仿宋_GB2312"/>
              </w:rPr>
              <w:t>非联合体磋商声明；供应商需在项目电子化交易系统中按要求上传相应证明文件并进行电子签章。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详见6.4.2评分标准 异常低价审查</w:t>
            </w:r>
          </w:p>
        </w:tc>
        <w:tc>
          <w:tcPr>
            <w:tcW w:type="dxa" w:w="1661"/>
          </w:tcPr>
          <w:p>
            <w:pPr>
              <w:pStyle w:val="null3"/>
            </w:pPr>
            <w:r>
              <w:rPr>
                <w:rFonts w:ascii="仿宋_GB2312" w:hAnsi="仿宋_GB2312" w:cs="仿宋_GB2312" w:eastAsia="仿宋_GB2312"/>
              </w:rPr>
              <w:t>报价一览表.docx 标的清单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磋商响应文件签署</w:t>
            </w:r>
          </w:p>
        </w:tc>
        <w:tc>
          <w:tcPr>
            <w:tcW w:type="dxa" w:w="3322"/>
          </w:tcPr>
          <w:p>
            <w:pPr>
              <w:pStyle w:val="null3"/>
            </w:pPr>
            <w:r>
              <w:rPr>
                <w:rFonts w:ascii="仿宋_GB2312" w:hAnsi="仿宋_GB2312" w:cs="仿宋_GB2312" w:eastAsia="仿宋_GB2312"/>
              </w:rPr>
              <w:t>响应文件按照规定格式签字、盖章;</w:t>
            </w:r>
          </w:p>
        </w:tc>
        <w:tc>
          <w:tcPr>
            <w:tcW w:type="dxa" w:w="1661"/>
          </w:tcPr>
          <w:p>
            <w:pPr>
              <w:pStyle w:val="null3"/>
            </w:pPr>
            <w:r>
              <w:rPr>
                <w:rFonts w:ascii="仿宋_GB2312" w:hAnsi="仿宋_GB2312" w:cs="仿宋_GB2312" w:eastAsia="仿宋_GB2312"/>
              </w:rPr>
              <w:t>报价一览表.docx 中小企业声明函 商务应答表 服务内容及服务要求应答表 承诺书.docx 报价表 资格证明文件.docx 响应文件封面 业绩证明文件及响应方案说明.docx 残疾人福利性单位声明函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磋商响应有效期达到磋商文件的要求；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选择性报价</w:t>
            </w:r>
          </w:p>
        </w:tc>
        <w:tc>
          <w:tcPr>
            <w:tcW w:type="dxa" w:w="3322"/>
          </w:tcPr>
          <w:p>
            <w:pPr>
              <w:pStyle w:val="null3"/>
            </w:pPr>
            <w:r>
              <w:rPr>
                <w:rFonts w:ascii="仿宋_GB2312" w:hAnsi="仿宋_GB2312" w:cs="仿宋_GB2312" w:eastAsia="仿宋_GB2312"/>
              </w:rPr>
              <w:t>供应商针对同一服务未递交两份或多份内容不同的响应文件，未出现选择性报价；</w:t>
            </w:r>
          </w:p>
        </w:tc>
        <w:tc>
          <w:tcPr>
            <w:tcW w:type="dxa" w:w="1661"/>
          </w:tcPr>
          <w:p>
            <w:pPr>
              <w:pStyle w:val="null3"/>
            </w:pPr>
            <w:r>
              <w:rPr>
                <w:rFonts w:ascii="仿宋_GB2312" w:hAnsi="仿宋_GB2312" w:cs="仿宋_GB2312" w:eastAsia="仿宋_GB2312"/>
              </w:rPr>
              <w:t>报价一览表.docx 标的清单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符合商务、技术要求</w:t>
            </w:r>
          </w:p>
        </w:tc>
        <w:tc>
          <w:tcPr>
            <w:tcW w:type="dxa" w:w="3322"/>
          </w:tcPr>
          <w:p>
            <w:pPr>
              <w:pStyle w:val="null3"/>
            </w:pPr>
            <w:r>
              <w:rPr>
                <w:rFonts w:ascii="仿宋_GB2312" w:hAnsi="仿宋_GB2312" w:cs="仿宋_GB2312" w:eastAsia="仿宋_GB2312"/>
              </w:rPr>
              <w:t>符合商务、技术要求，不存在重大负偏离；</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响应文件未附有采购人不能接受的条件</w:t>
            </w:r>
          </w:p>
        </w:tc>
        <w:tc>
          <w:tcPr>
            <w:tcW w:type="dxa" w:w="3322"/>
          </w:tcPr>
          <w:p>
            <w:pPr>
              <w:pStyle w:val="null3"/>
            </w:pPr>
            <w:r>
              <w:rPr>
                <w:rFonts w:ascii="仿宋_GB2312" w:hAnsi="仿宋_GB2312" w:cs="仿宋_GB2312" w:eastAsia="仿宋_GB2312"/>
              </w:rPr>
              <w:t>响应文件未附有采购人不能接受的条件；</w:t>
            </w:r>
          </w:p>
        </w:tc>
        <w:tc>
          <w:tcPr>
            <w:tcW w:type="dxa" w:w="1661"/>
          </w:tcPr>
          <w:p>
            <w:pPr>
              <w:pStyle w:val="null3"/>
            </w:pPr>
            <w:r>
              <w:rPr>
                <w:rFonts w:ascii="仿宋_GB2312" w:hAnsi="仿宋_GB2312" w:cs="仿宋_GB2312" w:eastAsia="仿宋_GB2312"/>
              </w:rPr>
              <w:t>报价一览表.docx 中小企业声明函 商务应答表 服务内容及服务要求应答表 承诺书.docx 报价表 资格证明文件.docx 响应文件封面 业绩证明文件及响应方案说明.docx 残疾人福利性单位声明函 标的清单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符合磋商文件规定的其他实质性要求</w:t>
            </w:r>
          </w:p>
        </w:tc>
        <w:tc>
          <w:tcPr>
            <w:tcW w:type="dxa" w:w="3322"/>
          </w:tcPr>
          <w:p>
            <w:pPr>
              <w:pStyle w:val="null3"/>
            </w:pPr>
            <w:r>
              <w:rPr>
                <w:rFonts w:ascii="仿宋_GB2312" w:hAnsi="仿宋_GB2312" w:cs="仿宋_GB2312" w:eastAsia="仿宋_GB2312"/>
              </w:rPr>
              <w:t>符合磋商文件规定的其他实质性要求；</w:t>
            </w:r>
          </w:p>
        </w:tc>
        <w:tc>
          <w:tcPr>
            <w:tcW w:type="dxa" w:w="1661"/>
          </w:tcPr>
          <w:p>
            <w:pPr>
              <w:pStyle w:val="null3"/>
            </w:pPr>
            <w:r>
              <w:rPr>
                <w:rFonts w:ascii="仿宋_GB2312" w:hAnsi="仿宋_GB2312" w:cs="仿宋_GB2312" w:eastAsia="仿宋_GB2312"/>
              </w:rPr>
              <w:t>报价一览表.docx 中小企业声明函 商务应答表 服务内容及服务要求应答表 承诺书.docx 报价表 资格证明文件.docx 响应文件封面 业绩证明文件及响应方案说明.docx 残疾人福利性单位声明函 标的清单 响应函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符合《中华人民共和国政府采购法》有关规定和磋商纪律</w:t>
            </w:r>
          </w:p>
        </w:tc>
        <w:tc>
          <w:tcPr>
            <w:tcW w:type="dxa" w:w="3322"/>
          </w:tcPr>
          <w:p>
            <w:pPr>
              <w:pStyle w:val="null3"/>
            </w:pPr>
            <w:r>
              <w:rPr>
                <w:rFonts w:ascii="仿宋_GB2312" w:hAnsi="仿宋_GB2312" w:cs="仿宋_GB2312" w:eastAsia="仿宋_GB2312"/>
              </w:rPr>
              <w:t>符合《中华人民共和国政府采购法》有关规定和磋商纪律。</w:t>
            </w:r>
          </w:p>
        </w:tc>
        <w:tc>
          <w:tcPr>
            <w:tcW w:type="dxa" w:w="1661"/>
          </w:tcPr>
          <w:p>
            <w:pPr>
              <w:pStyle w:val="null3"/>
            </w:pPr>
            <w:r>
              <w:rPr>
                <w:rFonts w:ascii="仿宋_GB2312" w:hAnsi="仿宋_GB2312" w:cs="仿宋_GB2312" w:eastAsia="仿宋_GB2312"/>
              </w:rPr>
              <w:t>报价一览表.docx 中小企业声明函 商务应答表 服务内容及服务要求应答表 承诺书.docx 报价表 资格证明文件.docx 响应文件封面 业绩证明文件及响应方案说明.docx 残疾人福利性单位声明函 标的清单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企业业绩证明</w:t>
            </w:r>
          </w:p>
        </w:tc>
        <w:tc>
          <w:tcPr>
            <w:tcW w:type="dxa" w:w="2492"/>
          </w:tcPr>
          <w:p>
            <w:pPr>
              <w:pStyle w:val="null3"/>
            </w:pPr>
            <w:r>
              <w:rPr>
                <w:rFonts w:ascii="仿宋_GB2312" w:hAnsi="仿宋_GB2312" w:cs="仿宋_GB2312" w:eastAsia="仿宋_GB2312"/>
              </w:rPr>
              <w:t>提供2023年以来类似项目业绩（以合同签订时间为准），业绩需附中标（成交）通知书或合同，每份计2.5分，满分10分。（注：以上证明文件在磋商响应文件中附扫描件并加盖公司公章。）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业绩证明文件及响应方案说明.docx</w:t>
            </w:r>
          </w:p>
        </w:tc>
      </w:tr>
      <w:tr>
        <w:tc>
          <w:tcPr>
            <w:tcW w:type="dxa" w:w="831"/>
            <w:vMerge/>
          </w:tcPr>
          <w:p/>
        </w:tc>
        <w:tc>
          <w:tcPr>
            <w:tcW w:type="dxa" w:w="1661"/>
          </w:tcPr>
          <w:p>
            <w:pPr>
              <w:pStyle w:val="null3"/>
            </w:pPr>
            <w:r>
              <w:rPr>
                <w:rFonts w:ascii="仿宋_GB2312" w:hAnsi="仿宋_GB2312" w:cs="仿宋_GB2312" w:eastAsia="仿宋_GB2312"/>
              </w:rPr>
              <w:t>媒体宣传服务方案</w:t>
            </w:r>
          </w:p>
        </w:tc>
        <w:tc>
          <w:tcPr>
            <w:tcW w:type="dxa" w:w="2492"/>
          </w:tcPr>
          <w:p>
            <w:pPr>
              <w:pStyle w:val="null3"/>
            </w:pPr>
            <w:r>
              <w:rPr>
                <w:rFonts w:ascii="仿宋_GB2312" w:hAnsi="仿宋_GB2312" w:cs="仿宋_GB2312" w:eastAsia="仿宋_GB2312"/>
              </w:rPr>
              <w:t>供应商提交完整的服务方案（包含宣传节奏时间表、媒体邀约清单、新闻通稿撰写、采访提纲准备、现场媒体接待、预热/现场/收尾全流程计划、应急措施、活动报道发布及传播资料整理），以上8项内容均包含且描述清晰，得8分;每缺少或仅以提纲、标题罗列而无实质性内容的模块，扣1分，扣完为止。未提交方案或方案与活动主题完全无关的，本项计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业绩证明文件及响应方案说明.docx</w:t>
            </w:r>
          </w:p>
        </w:tc>
      </w:tr>
      <w:tr>
        <w:tc>
          <w:tcPr>
            <w:tcW w:type="dxa" w:w="831"/>
            <w:vMerge/>
          </w:tcPr>
          <w:p/>
        </w:tc>
        <w:tc>
          <w:tcPr>
            <w:tcW w:type="dxa" w:w="1661"/>
          </w:tcPr>
          <w:p>
            <w:pPr>
              <w:pStyle w:val="null3"/>
            </w:pPr>
            <w:r>
              <w:rPr>
                <w:rFonts w:ascii="仿宋_GB2312" w:hAnsi="仿宋_GB2312" w:cs="仿宋_GB2312" w:eastAsia="仿宋_GB2312"/>
              </w:rPr>
              <w:t>前期预热宣传</w:t>
            </w:r>
          </w:p>
        </w:tc>
        <w:tc>
          <w:tcPr>
            <w:tcW w:type="dxa" w:w="2492"/>
          </w:tcPr>
          <w:p>
            <w:pPr>
              <w:pStyle w:val="null3"/>
            </w:pPr>
            <w:r>
              <w:rPr>
                <w:rFonts w:ascii="仿宋_GB2312" w:hAnsi="仿宋_GB2312" w:cs="仿宋_GB2312" w:eastAsia="仿宋_GB2312"/>
              </w:rPr>
              <w:t>提供完成不少于2个官方渠道（微信公众号、官网等）预热推送方案（方案内容包含图文预告、活动亮点介绍等），得2分；每少1个发布渠道方案描述扣1分。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业绩证明文件及响应方案说明.docx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1.项目负责人具有类似活动策划经验的得3分。（佐证材料：身份证、学历证、任职起止时间、主要工作职责、劳动合同或社保缴纳证明或实景照片等） 2.供应商所提供项目团队成员中具有类似活动策划经验的，每有1位得2分，最多得10分。（佐证材料：身份证、学历证、任职起止时间、主要工作职责、劳动合同或社保缴纳证明或实景照片等） 3.拟派服务团队组织架构清晰（包含前期策划人员、拍摄人员、直播人员、现场运维人员、后期制作人员等岗位人员），得2分。（佐证材料：姓名、年龄、岗位职责、劳动合同或社保缴纳证明等）。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业绩证明文件及响应方案说明.docx</w:t>
            </w:r>
          </w:p>
        </w:tc>
      </w:tr>
      <w:tr>
        <w:tc>
          <w:tcPr>
            <w:tcW w:type="dxa" w:w="831"/>
            <w:vMerge/>
          </w:tcPr>
          <w:p/>
        </w:tc>
        <w:tc>
          <w:tcPr>
            <w:tcW w:type="dxa" w:w="1661"/>
          </w:tcPr>
          <w:p>
            <w:pPr>
              <w:pStyle w:val="null3"/>
            </w:pPr>
            <w:r>
              <w:rPr>
                <w:rFonts w:ascii="仿宋_GB2312" w:hAnsi="仿宋_GB2312" w:cs="仿宋_GB2312" w:eastAsia="仿宋_GB2312"/>
              </w:rPr>
              <w:t>翻译服务人员</w:t>
            </w:r>
          </w:p>
        </w:tc>
        <w:tc>
          <w:tcPr>
            <w:tcW w:type="dxa" w:w="2492"/>
          </w:tcPr>
          <w:p>
            <w:pPr>
              <w:pStyle w:val="null3"/>
            </w:pPr>
            <w:r>
              <w:rPr>
                <w:rFonts w:ascii="仿宋_GB2312" w:hAnsi="仿宋_GB2312" w:cs="仿宋_GB2312" w:eastAsia="仿宋_GB2312"/>
              </w:rPr>
              <w:t>根据项目实际情况及服务内容要求提供翻译服务人员，包含：中英双语同声传译、交替传译、笔译翻译岗位（提供翻译人资质证书、身份证、劳动合同等信息），每提供1人计1分，最多得3分，佐证材料未提供或提供不全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业绩证明文件及响应方案说明.docx</w:t>
            </w:r>
          </w:p>
        </w:tc>
      </w:tr>
      <w:tr>
        <w:tc>
          <w:tcPr>
            <w:tcW w:type="dxa" w:w="831"/>
            <w:vMerge/>
          </w:tcPr>
          <w:p/>
        </w:tc>
        <w:tc>
          <w:tcPr>
            <w:tcW w:type="dxa" w:w="1661"/>
          </w:tcPr>
          <w:p>
            <w:pPr>
              <w:pStyle w:val="null3"/>
            </w:pPr>
            <w:r>
              <w:rPr>
                <w:rFonts w:ascii="仿宋_GB2312" w:hAnsi="仿宋_GB2312" w:cs="仿宋_GB2312" w:eastAsia="仿宋_GB2312"/>
              </w:rPr>
              <w:t>成果复盘与资料归档</w:t>
            </w:r>
          </w:p>
        </w:tc>
        <w:tc>
          <w:tcPr>
            <w:tcW w:type="dxa" w:w="2492"/>
          </w:tcPr>
          <w:p>
            <w:pPr>
              <w:pStyle w:val="null3"/>
            </w:pPr>
            <w:r>
              <w:rPr>
                <w:rFonts w:ascii="仿宋_GB2312" w:hAnsi="仿宋_GB2312" w:cs="仿宋_GB2312" w:eastAsia="仿宋_GB2312"/>
              </w:rPr>
              <w:t>承诺活动结束后完成活动数据统计；工作总结编制；全流程素材统一归档。以上内容全部响应得3分，每缺失1项扣1分，扣完为止。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业绩证明文件及响应方案说明.docx</w:t>
            </w:r>
          </w:p>
        </w:tc>
      </w:tr>
      <w:tr>
        <w:tc>
          <w:tcPr>
            <w:tcW w:type="dxa" w:w="831"/>
            <w:vMerge/>
          </w:tcPr>
          <w:p/>
        </w:tc>
        <w:tc>
          <w:tcPr>
            <w:tcW w:type="dxa" w:w="1661"/>
          </w:tcPr>
          <w:p>
            <w:pPr>
              <w:pStyle w:val="null3"/>
            </w:pPr>
            <w:r>
              <w:rPr>
                <w:rFonts w:ascii="仿宋_GB2312" w:hAnsi="仿宋_GB2312" w:cs="仿宋_GB2312" w:eastAsia="仿宋_GB2312"/>
              </w:rPr>
              <w:t>组织实施总体方案</w:t>
            </w:r>
          </w:p>
        </w:tc>
        <w:tc>
          <w:tcPr>
            <w:tcW w:type="dxa" w:w="2492"/>
          </w:tcPr>
          <w:p>
            <w:pPr>
              <w:pStyle w:val="null3"/>
            </w:pPr>
            <w:r>
              <w:rPr>
                <w:rFonts w:ascii="仿宋_GB2312" w:hAnsi="仿宋_GB2312" w:cs="仿宋_GB2312" w:eastAsia="仿宋_GB2312"/>
              </w:rPr>
              <w:t>一、评审内容 根据项目实际要求及服务内容提供完整组织实施总体方案，需至少包含：①保障工作总体部署、责任分工；②会议全流程规划、环节设置、衔接安排、展会撤展方案；③嘉宾邀请接待工作；④前期踏勘沟通方案；⑤活动执行落地方案；⑥对活动音视频及图文资料分类归档、留存、交付方案；⑦交通、住宿安排方案。 二、评审标准 1.完整性：方案须全面，对评审内容中的各项要求有详细描述； 2.可实施性：切合本项目实际情况，实施步骤清晰、合理； 3.针对性：方案能够紧扣项目实际情况，内容科学合理。 三、赋分标准 ①保障工作总体部署、责任分工、时间节点管控：每完全满足一项评审标准计1分，满分3分。 ②会议全流程规划、环节设置、衔接安排、展会撤展方案：每完全满足一项评审标准计1分，满分3分。 ③嘉宾邀请接待工作：每完全满足一项评审标准计1分，满分3分。 ④前期踏勘沟通方案：每完全满足一项评审标准计1分，满分3分。 ⑤活动执行落地方案：每完全满足一项评审标准计1分，满分3分； ⑥对活动音视频及图文资料分类归档、留存、交付方案：每完全满足一项评审标准计1分，满分3分。 ⑦交通、住宿安排方案：每完全满足一项评审标准计1分，满分3分。</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业绩证明文件及响应方案说明.docx</w:t>
            </w:r>
          </w:p>
        </w:tc>
      </w:tr>
      <w:tr>
        <w:tc>
          <w:tcPr>
            <w:tcW w:type="dxa" w:w="831"/>
            <w:vMerge/>
          </w:tcPr>
          <w:p/>
        </w:tc>
        <w:tc>
          <w:tcPr>
            <w:tcW w:type="dxa" w:w="1661"/>
          </w:tcPr>
          <w:p>
            <w:pPr>
              <w:pStyle w:val="null3"/>
            </w:pPr>
            <w:r>
              <w:rPr>
                <w:rFonts w:ascii="仿宋_GB2312" w:hAnsi="仿宋_GB2312" w:cs="仿宋_GB2312" w:eastAsia="仿宋_GB2312"/>
              </w:rPr>
              <w:t>场地规划及搭建布置服务</w:t>
            </w:r>
          </w:p>
        </w:tc>
        <w:tc>
          <w:tcPr>
            <w:tcW w:type="dxa" w:w="2492"/>
          </w:tcPr>
          <w:p>
            <w:pPr>
              <w:pStyle w:val="null3"/>
            </w:pPr>
            <w:r>
              <w:rPr>
                <w:rFonts w:ascii="仿宋_GB2312" w:hAnsi="仿宋_GB2312" w:cs="仿宋_GB2312" w:eastAsia="仿宋_GB2312"/>
              </w:rPr>
              <w:t>一、评审内容 根据项目规模及外事标准提供场地与搭建方案，需至少包含：①会场租赁、功能分区、人员动线设计；②会场整体搭建、舞台、台型布置方案；③拟投入设备清单（视频、灯光、音响、摄影摄像、同传等设备及数量）；④氛围营造、展览展示区规划及内容布置，活动物料制作及布置；⑤休息室租赁、规划、布置、服务保障等。 二、评审标准 1.完整性：方案须全面，对评审内容中的各项要求有详细描述； 2.可实施性：切合本项目实际情况，实施步骤清晰、合理； 3.针对性：方案能够紧扣项目实际情况，内容科学合理。 三、赋分标准 ①会场租赁、功能分区、人员动线设计：每完全满足一项评审标准计0.5分，满分1.5分。 ②会场整体搭建、舞台、台型布置方案：每完全满足一项评审标准计0.5分，满分1.5分。 ③拟投入设备清单（视频、灯光、音响、摄影摄像、同传等设备的型号及数量）：每完全满足一项评审标准计0.5分，满分1.5分。 ④氛围营造、展览展示区规划及内容布置，活动物料制作及布置：每完全满足一项评审标准计0.5分，满分1.5分。 ⑤休息室租赁、规划、布置、服务保障等：每完全满足一项评审标准计0.5分，满分1.5分。</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业绩证明文件及响应方案说明.docx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针对本项目服务过程预判提供突发和临时事件的应急预案。包含：①人员、外事、医疗、消防等突发/临时事件全面预判；②应急小组架构、职责分工；③分类处置措施、响应流程、联络机制。 二、评审标准 1.完整性：方案须全面，对评审内容中的各项要求有详细描述； 2.可实施性：切合本项目实际情况，实施步骤清晰、合理； 3.针对性：方案能够紧扣项目实际情况，内容科学合理。 三、赋分标准 ①人员、外事、医疗、消防等突发/临时事件全面预判：每完全满足一项评审标准计0.5分，满分1.5分。 ②应急小组架构、职责分工：每完全满足一项评审标准计0.5分，满分1.5分。 ③分类处置措施、响应流程、联络机制：每完全满足一项评审标准计0.5分，满分1.5分。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业绩证明文件及响应方案说明.docx</w:t>
            </w:r>
          </w:p>
        </w:tc>
      </w:tr>
      <w:tr>
        <w:tc>
          <w:tcPr>
            <w:tcW w:type="dxa" w:w="831"/>
            <w:vMerge/>
          </w:tcPr>
          <w:p/>
        </w:tc>
        <w:tc>
          <w:tcPr>
            <w:tcW w:type="dxa" w:w="1661"/>
          </w:tcPr>
          <w:p>
            <w:pPr>
              <w:pStyle w:val="null3"/>
            </w:pPr>
            <w:r>
              <w:rPr>
                <w:rFonts w:ascii="仿宋_GB2312" w:hAnsi="仿宋_GB2312" w:cs="仿宋_GB2312" w:eastAsia="仿宋_GB2312"/>
              </w:rPr>
              <w:t>进度保证措施</w:t>
            </w:r>
          </w:p>
        </w:tc>
        <w:tc>
          <w:tcPr>
            <w:tcW w:type="dxa" w:w="2492"/>
          </w:tcPr>
          <w:p>
            <w:pPr>
              <w:pStyle w:val="null3"/>
            </w:pPr>
            <w:r>
              <w:rPr>
                <w:rFonts w:ascii="仿宋_GB2312" w:hAnsi="仿宋_GB2312" w:cs="仿宋_GB2312" w:eastAsia="仿宋_GB2312"/>
              </w:rPr>
              <w:t>一、评审内容 进度保证措施，评审内容点如下：①明确各项工作任务完成期限、时间节点；②任务进度跟踪与管控。 二、评审标准 1、完整性：措施须全面，对评审内容中的各项要求有详细描述； 2、可实施性：切合本项目实际情况，实施步骤清晰、合理； 3、针对性：措施能够紧扣项目实际情况，内容科学合理。 三、赋分标准 ①明确各项工作任务完成期限、时间节点：每完全满足一项评审标准计0.5分，满分1.5分。 ②任务进度跟踪与管控：每完全满足一项评审标准计0.5分，满分1.5分。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业绩证明文件及响应方案说明.docx</w:t>
            </w:r>
          </w:p>
        </w:tc>
      </w:tr>
      <w:tr>
        <w:tc>
          <w:tcPr>
            <w:tcW w:type="dxa" w:w="831"/>
            <w:vMerge/>
          </w:tcPr>
          <w:p/>
        </w:tc>
        <w:tc>
          <w:tcPr>
            <w:tcW w:type="dxa" w:w="1661"/>
          </w:tcPr>
          <w:p>
            <w:pPr>
              <w:pStyle w:val="null3"/>
            </w:pPr>
            <w:r>
              <w:rPr>
                <w:rFonts w:ascii="仿宋_GB2312" w:hAnsi="仿宋_GB2312" w:cs="仿宋_GB2312" w:eastAsia="仿宋_GB2312"/>
              </w:rPr>
              <w:t>安全及保密措施</w:t>
            </w:r>
          </w:p>
        </w:tc>
        <w:tc>
          <w:tcPr>
            <w:tcW w:type="dxa" w:w="2492"/>
          </w:tcPr>
          <w:p>
            <w:pPr>
              <w:pStyle w:val="null3"/>
            </w:pPr>
            <w:r>
              <w:rPr>
                <w:rFonts w:ascii="仿宋_GB2312" w:hAnsi="仿宋_GB2312" w:cs="仿宋_GB2312" w:eastAsia="仿宋_GB2312"/>
              </w:rPr>
              <w:t>一、评审内容 ①安全管理制度；②保密措施。 二、评审标准 1、完整性：措施须全面，对评审内容中的各项要求有详细描述； 2、可实施性：切合本项目实际情况，实施步骤清晰、合理； 3、针对性：措施能够紧扣项目实际情况，内容科学合理。 三、赋分标准 ①安全管理制度：每完全满足一项评审标准计0.5分，满分1.5分。 ②保密措施：每完全满足一项评审标准计0.5分，满分1.5分。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业绩证明文件及响应方案说明.docx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审小组基于专业判断，认为供应商投标（响应）报价过低，有可能影响产品质量或者不能诚信履约的其他情形。评审小组启动异常低价投标审查后，属于前述第1项至第4项情形的，相关供应商在30分钟内通过项目电子化交易系统进行提交，对投标（响应）价格作出解释，提供项目具体成本测算等与报价合理性相关的书面说明及必要的证明材料，包括但不限于原材料成本、人工成本、制造费用等。评审小组依据专业经验，参考同类项目中标（成交）价格、类似产品市场价格水平、行业人工费用标准、国家有关部门指导行业协会发布的行业平均成本等情况，对报价合理性进行判断。供应商提交的相关证明材料，应当加盖供应商（法定名称）电子印章，供应商不能提供书面说明、证明材料，或者提供的书面说明、证明材料不能证明其报价合理性的，评审小组应当将其作为无效投标（响应）处理。 评审委员会启动异常低价投标（响应）审查后，应当要求相关供应商在评审现场合理的时间内提供书面说明及必要的证明材料，对投标（响应）价格作出解释。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最后报价最低的供应商的价格为磋商基准价，其价格分为满分。其他供应商的价格分统一按照下列公式计算：磋商报价得分=（磋商基准价/最后磋商报价）×价格权重（20%）×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报价一览表.docx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详见附件：报价一览表.docx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详见附件：业绩证明文件及响应方案说明.docx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