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版本号：ZJZBSX-260634-013420260713001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未央校区污水处理站整体外包项目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ZJZBSX-260634-0134</w:t>
      </w:r>
      <w:r>
        <w:br/>
      </w:r>
      <w:r>
        <w:br/>
      </w:r>
      <w:r>
        <w:br/>
      </w:r>
    </w:p>
    <w:p>
      <w:pPr>
        <w:pStyle w:val="null3"/>
        <w:jc w:val="center"/>
        <w:outlineLvl w:val="2"/>
      </w:pPr>
      <w:r>
        <w:rPr>
          <w:rFonts w:ascii="仿宋_GB2312" w:hAnsi="仿宋_GB2312" w:cs="仿宋_GB2312" w:eastAsia="仿宋_GB2312"/>
          <w:sz w:val="28"/>
          <w:b/>
        </w:rPr>
        <w:t>西安医学院</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西安医学院</w:t>
      </w:r>
      <w:r>
        <w:rPr>
          <w:rFonts w:ascii="仿宋_GB2312" w:hAnsi="仿宋_GB2312" w:cs="仿宋_GB2312" w:eastAsia="仿宋_GB2312"/>
        </w:rPr>
        <w:t>委托，拟对</w:t>
      </w:r>
      <w:r>
        <w:rPr>
          <w:rFonts w:ascii="仿宋_GB2312" w:hAnsi="仿宋_GB2312" w:cs="仿宋_GB2312" w:eastAsia="仿宋_GB2312"/>
        </w:rPr>
        <w:t>未央校区污水处理站整体外包项目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ZJZBSX-260634-0134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未央校区污水处理站整体外包项目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医学院未央校区污水处理站整体运营，主要服务内容为污水处理站及污水提升站日常运行工作；设备设施的日常运行、维修、维护保养；工作人员配备；排放水水质达标排放；回用水水质达标回用；每月向采购人提供一次水质检测报告（检测报告需加盖具备检测资质的第三方单位的检测专用章和供应商公章）；脱水后污泥的处置；假期后的细菌活性恢复或培菌；CASS 反应池内池底曝气系统优化更新；保障中水供应，确保污水站安全，污水站内物业保洁及绿化等工作。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采购包1（未央校区污水处理站整体外包）：属于专门面向中小企业采购。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p>
      <w:pPr>
        <w:pStyle w:val="null3"/>
      </w:pPr>
      <w:r>
        <w:rPr>
          <w:rFonts w:ascii="仿宋_GB2312" w:hAnsi="仿宋_GB2312" w:cs="仿宋_GB2312" w:eastAsia="仿宋_GB2312"/>
        </w:rPr>
        <w:t>3、财务状况报告：提供2025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盖章，或提供递交响应文件截止时间前6个月内银行出具的资信证明，或财政部门认可的政府采购专业担保机构出具的投标担保函（以上三种形式的资料提供任何一种即可）。注：提供财务报告的,必须为上传至注册会计师行业统一监管平台(http://acc.mof.gov.cn)并具有全国统一的二维码的财务报告。供应商需在项目电子化交易系统中按要求进行电子签章。</w:t>
      </w:r>
    </w:p>
    <w:p>
      <w:pPr>
        <w:pStyle w:val="null3"/>
      </w:pPr>
      <w:r>
        <w:rPr>
          <w:rFonts w:ascii="仿宋_GB2312" w:hAnsi="仿宋_GB2312" w:cs="仿宋_GB2312" w:eastAsia="仿宋_GB2312"/>
        </w:rPr>
        <w:t>4、社会保障资金缴纳证明：供应商提供2025年07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p>
      <w:pPr>
        <w:pStyle w:val="null3"/>
      </w:pPr>
      <w:r>
        <w:rPr>
          <w:rFonts w:ascii="仿宋_GB2312" w:hAnsi="仿宋_GB2312" w:cs="仿宋_GB2312" w:eastAsia="仿宋_GB2312"/>
        </w:rPr>
        <w:t>5、税收缴纳证明：供应商提供2025年07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7、承诺书：提供具有履行合同所必需的设备和专业技术能力的承诺原件。供应商需在项目电子化交易系统中按要求进行电子签章。</w:t>
      </w:r>
    </w:p>
    <w:p>
      <w:pPr>
        <w:pStyle w:val="null3"/>
      </w:pPr>
      <w:r>
        <w:rPr>
          <w:rFonts w:ascii="仿宋_GB2312" w:hAnsi="仿宋_GB2312" w:cs="仿宋_GB2312" w:eastAsia="仿宋_GB2312"/>
        </w:rPr>
        <w:t>8、特殊资质：供应商应具备建设行政主管部门核发的环保工程专业承包三级及以上（含三级）资质并提供有效的安全生产许可证。供应商需在项目电子化交易系统中按要求进行电子签章。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西安医学院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西安市未央区辛王路1号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西安医学院经办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029-86177468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王佼、祝清江、刘婷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说明：本项目需提交合同金额5%的履约保证金，合同签订前，成交供应商交纳履约保证金到采购需求单位指定账户，履约期满后一次性无息返还至成交供应商。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即成交服务费）由成交单位支付，参照国家计委关于《招标代理服务收费管理暂行办法》的通知（计价格[2002]1980号）及发改办价格[2003]857号规定的标准收取招标代理服务费，成交金额50万元以上的下浮 20% 收取。成交金额50万元以下的按标准收取。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踏勘时间：2026-07-22 09:30:00</w:t>
            </w:r>
          </w:p>
          <w:p>
            <w:pPr>
              <w:pStyle w:val="null3"/>
              <w:ind w:firstLine="975"/>
            </w:pPr>
            <w:r>
              <w:rPr>
                <w:rFonts w:ascii="仿宋_GB2312" w:hAnsi="仿宋_GB2312" w:cs="仿宋_GB2312" w:eastAsia="仿宋_GB2312"/>
              </w:rPr>
              <w:t>踏勘地点：西安市辛王路1号西安医学院未央校区北大门集合</w:t>
            </w:r>
          </w:p>
          <w:p>
            <w:pPr>
              <w:pStyle w:val="null3"/>
              <w:ind w:firstLine="975"/>
            </w:pPr>
            <w:r>
              <w:rPr>
                <w:rFonts w:ascii="仿宋_GB2312" w:hAnsi="仿宋_GB2312" w:cs="仿宋_GB2312" w:eastAsia="仿宋_GB2312"/>
              </w:rPr>
              <w:t>联系人：董老师</w:t>
            </w:r>
          </w:p>
          <w:p>
            <w:pPr>
              <w:pStyle w:val="null3"/>
              <w:ind w:firstLine="975"/>
            </w:pPr>
            <w:r>
              <w:rPr>
                <w:rFonts w:ascii="仿宋_GB2312" w:hAnsi="仿宋_GB2312" w:cs="仿宋_GB2312" w:eastAsia="仿宋_GB2312"/>
              </w:rPr>
              <w:t>联系电话号码：86177421</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西安医学院</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西安医学院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西安医学院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联系人：王佼</w:t>
      </w:r>
    </w:p>
    <w:p>
      <w:pPr>
        <w:pStyle w:val="null3"/>
      </w:pPr>
      <w:r>
        <w:rPr>
          <w:rFonts w:ascii="仿宋_GB2312" w:hAnsi="仿宋_GB2312" w:cs="仿宋_GB2312" w:eastAsia="仿宋_GB2312"/>
        </w:rPr>
        <w:t>联系电话：029-87888601-8013</w:t>
      </w:r>
    </w:p>
    <w:p>
      <w:pPr>
        <w:pStyle w:val="null3"/>
      </w:pPr>
      <w:r>
        <w:rPr>
          <w:rFonts w:ascii="仿宋_GB2312" w:hAnsi="仿宋_GB2312" w:cs="仿宋_GB2312" w:eastAsia="仿宋_GB2312"/>
        </w:rPr>
        <w:t>地址：陕西省西安市碑林区长安北路8B高速经纬大厦16层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西安医学院未央校区污水处理站整体运营，主要服务内容为污水处理站及污水提升站日常运行工作；设备设施的日常运行、维修、维护保养；工作人员配备；排放水水质达标排放；回用水水质达标回用；每月向采购人提供一次水质检测报告（检测报告需加盖具备检测资质的第三方单位的检测专用章和供应商公章）；脱水后污泥的处置；假期后的细菌活性恢复或培菌；CASS 反应池内池底曝气系统优化更新；保障中水供应，确保污水站安全，污水站内物业保洁及绿化等工作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未央校区污水处理站整体外包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标的名称：未央校区污水处理站整体外包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1.服务范围：</w:t>
            </w:r>
            <w:r>
              <w:rPr>
                <w:rFonts w:ascii="仿宋_GB2312" w:hAnsi="仿宋_GB2312" w:cs="仿宋_GB2312" w:eastAsia="仿宋_GB2312"/>
                <w:sz w:val="21"/>
              </w:rPr>
              <w:t>西安医学院</w:t>
            </w:r>
            <w:r>
              <w:rPr>
                <w:rFonts w:ascii="仿宋_GB2312" w:hAnsi="仿宋_GB2312" w:cs="仿宋_GB2312" w:eastAsia="仿宋_GB2312"/>
                <w:sz w:val="21"/>
              </w:rPr>
              <w:t>未央校区</w:t>
            </w:r>
            <w:r>
              <w:rPr>
                <w:rFonts w:ascii="仿宋_GB2312" w:hAnsi="仿宋_GB2312" w:cs="仿宋_GB2312" w:eastAsia="仿宋_GB2312"/>
                <w:sz w:val="21"/>
              </w:rPr>
              <w:t>污水</w:t>
            </w:r>
            <w:r>
              <w:rPr>
                <w:rFonts w:ascii="仿宋_GB2312" w:hAnsi="仿宋_GB2312" w:cs="仿宋_GB2312" w:eastAsia="仿宋_GB2312"/>
                <w:sz w:val="21"/>
              </w:rPr>
              <w:t>处理</w:t>
            </w:r>
            <w:r>
              <w:rPr>
                <w:rFonts w:ascii="仿宋_GB2312" w:hAnsi="仿宋_GB2312" w:cs="仿宋_GB2312" w:eastAsia="仿宋_GB2312"/>
                <w:sz w:val="21"/>
              </w:rPr>
              <w:t>站整体运营</w:t>
            </w:r>
          </w:p>
          <w:p>
            <w:pPr>
              <w:pStyle w:val="null3"/>
              <w:jc w:val="both"/>
            </w:pPr>
            <w:r>
              <w:rPr>
                <w:rFonts w:ascii="仿宋_GB2312" w:hAnsi="仿宋_GB2312" w:cs="仿宋_GB2312" w:eastAsia="仿宋_GB2312"/>
                <w:sz w:val="21"/>
                <w:b/>
              </w:rPr>
              <w:t>2.服务要求：</w:t>
            </w:r>
          </w:p>
          <w:p>
            <w:pPr>
              <w:pStyle w:val="null3"/>
              <w:jc w:val="left"/>
            </w:pPr>
            <w:r>
              <w:rPr>
                <w:rFonts w:ascii="仿宋_GB2312" w:hAnsi="仿宋_GB2312" w:cs="仿宋_GB2312" w:eastAsia="仿宋_GB2312"/>
                <w:sz w:val="21"/>
                <w:b/>
              </w:rPr>
              <w:t>（1）服务内容</w:t>
            </w:r>
            <w:r>
              <w:rPr>
                <w:rFonts w:ascii="仿宋_GB2312" w:hAnsi="仿宋_GB2312" w:cs="仿宋_GB2312" w:eastAsia="仿宋_GB2312"/>
                <w:sz w:val="21"/>
              </w:rPr>
              <w:t>备设施的日常运行、维修、维护保养；工作人员配备；排放水水质达标</w:t>
            </w:r>
            <w:r>
              <w:rPr>
                <w:rFonts w:ascii="仿宋_GB2312" w:hAnsi="仿宋_GB2312" w:cs="仿宋_GB2312" w:eastAsia="仿宋_GB2312"/>
                <w:sz w:val="21"/>
                <w:b/>
              </w:rPr>
              <w:t>：</w:t>
            </w:r>
            <w:r>
              <w:rPr>
                <w:rFonts w:ascii="仿宋_GB2312" w:hAnsi="仿宋_GB2312" w:cs="仿宋_GB2312" w:eastAsia="仿宋_GB2312"/>
                <w:sz w:val="21"/>
              </w:rPr>
              <w:t>污水处理站及污水提升站日常运行工作；设排放；回用水水质达标回用；每月向采购人提供一次水质检测报告（检测报告需加盖具备检测资质的第三方单位的检测专用章和供应商公章）；脱水后污泥的处置；假期后的细菌活性恢复或培菌；保障中水供应，确保污水站安全，污水站内物业保洁及绿化等工作。</w:t>
            </w:r>
          </w:p>
          <w:p>
            <w:pPr>
              <w:pStyle w:val="null3"/>
              <w:jc w:val="both"/>
            </w:pPr>
            <w:r>
              <w:rPr>
                <w:rFonts w:ascii="仿宋_GB2312" w:hAnsi="仿宋_GB2312" w:cs="仿宋_GB2312" w:eastAsia="仿宋_GB2312"/>
                <w:sz w:val="21"/>
                <w:b/>
              </w:rPr>
              <w:t>（2）达标排放：</w:t>
            </w:r>
            <w:r>
              <w:rPr>
                <w:rFonts w:ascii="仿宋_GB2312" w:hAnsi="仿宋_GB2312" w:cs="仿宋_GB2312" w:eastAsia="仿宋_GB2312"/>
                <w:sz w:val="21"/>
              </w:rPr>
              <w:t>污水处理站 2010 年建成使用，主要设备及构筑物见附录。设计污水处理量3000m</w:t>
            </w:r>
            <w:r>
              <w:rPr>
                <w:rFonts w:ascii="仿宋_GB2312" w:hAnsi="仿宋_GB2312" w:cs="仿宋_GB2312" w:eastAsia="仿宋_GB2312"/>
                <w:sz w:val="21"/>
                <w:vertAlign w:val="superscript"/>
              </w:rPr>
              <w:t>3</w:t>
            </w:r>
            <w:r>
              <w:rPr>
                <w:rFonts w:ascii="仿宋_GB2312" w:hAnsi="仿宋_GB2312" w:cs="仿宋_GB2312" w:eastAsia="仿宋_GB2312"/>
                <w:sz w:val="21"/>
              </w:rPr>
              <w:t>/d。运行期间污水处理量1500m</w:t>
            </w:r>
            <w:r>
              <w:rPr>
                <w:rFonts w:ascii="仿宋_GB2312" w:hAnsi="仿宋_GB2312" w:cs="仿宋_GB2312" w:eastAsia="仿宋_GB2312"/>
                <w:sz w:val="21"/>
                <w:vertAlign w:val="superscript"/>
              </w:rPr>
              <w:t>3</w:t>
            </w:r>
            <w:r>
              <w:rPr>
                <w:rFonts w:ascii="仿宋_GB2312" w:hAnsi="仿宋_GB2312" w:cs="仿宋_GB2312" w:eastAsia="仿宋_GB2312"/>
                <w:sz w:val="21"/>
              </w:rPr>
              <w:t>/d，处理后外排出水水质达到《污水综合排放标准》（GB8978-1996）一级排放标准、《污水排入城镇下水道水质标准》（GB/T31962-2015）C级标准及《医疗机构水污染物排放标准》（GB18466-2005）中表2排放标准限值。</w:t>
            </w:r>
          </w:p>
          <w:p>
            <w:pPr>
              <w:pStyle w:val="null3"/>
              <w:jc w:val="both"/>
            </w:pPr>
            <w:r>
              <w:rPr>
                <w:rFonts w:ascii="仿宋_GB2312" w:hAnsi="仿宋_GB2312" w:cs="仿宋_GB2312" w:eastAsia="仿宋_GB2312"/>
                <w:sz w:val="21"/>
              </w:rPr>
              <w:t>回用水量为1500m</w:t>
            </w:r>
            <w:r>
              <w:rPr>
                <w:rFonts w:ascii="仿宋_GB2312" w:hAnsi="仿宋_GB2312" w:cs="仿宋_GB2312" w:eastAsia="仿宋_GB2312"/>
                <w:sz w:val="21"/>
                <w:vertAlign w:val="superscript"/>
              </w:rPr>
              <w:t>3</w:t>
            </w:r>
            <w:r>
              <w:rPr>
                <w:rFonts w:ascii="仿宋_GB2312" w:hAnsi="仿宋_GB2312" w:cs="仿宋_GB2312" w:eastAsia="仿宋_GB2312"/>
                <w:sz w:val="21"/>
              </w:rPr>
              <w:t>/d，回用水水质达到《城市污水再生利用城市杂用水水质标准》（GB/T18920</w:t>
            </w:r>
            <w:r>
              <w:rPr>
                <w:rFonts w:ascii="仿宋_GB2312" w:hAnsi="仿宋_GB2312" w:cs="仿宋_GB2312" w:eastAsia="仿宋_GB2312"/>
                <w:sz w:val="21"/>
              </w:rPr>
              <w:t>-2020</w:t>
            </w:r>
            <w:r>
              <w:rPr>
                <w:rFonts w:ascii="仿宋_GB2312" w:hAnsi="仿宋_GB2312" w:cs="仿宋_GB2312" w:eastAsia="仿宋_GB2312"/>
                <w:sz w:val="21"/>
              </w:rPr>
              <w:t>）中规定的绿化及道路喷洒用水水质指标。</w:t>
            </w:r>
          </w:p>
          <w:p>
            <w:pPr>
              <w:pStyle w:val="null3"/>
              <w:jc w:val="both"/>
            </w:pPr>
            <w:r>
              <w:rPr>
                <w:rFonts w:ascii="仿宋_GB2312" w:hAnsi="仿宋_GB2312" w:cs="仿宋_GB2312" w:eastAsia="仿宋_GB2312"/>
                <w:sz w:val="21"/>
                <w:b/>
              </w:rPr>
              <w:t>（3）水质化验自检：</w:t>
            </w:r>
          </w:p>
          <w:p>
            <w:pPr>
              <w:pStyle w:val="null3"/>
              <w:jc w:val="both"/>
            </w:pPr>
            <w:r>
              <w:rPr>
                <w:rFonts w:ascii="仿宋_GB2312" w:hAnsi="仿宋_GB2312" w:cs="仿宋_GB2312" w:eastAsia="仿宋_GB2312"/>
                <w:sz w:val="21"/>
              </w:rPr>
              <w:t>1）日常自检监测指标：出水生化需氧量（BOD</w:t>
            </w:r>
            <w:r>
              <w:rPr>
                <w:rFonts w:ascii="仿宋_GB2312" w:hAnsi="仿宋_GB2312" w:cs="仿宋_GB2312" w:eastAsia="仿宋_GB2312"/>
                <w:sz w:val="21"/>
                <w:vertAlign w:val="subscript"/>
              </w:rPr>
              <w:t>5</w:t>
            </w:r>
            <w:r>
              <w:rPr>
                <w:rFonts w:ascii="仿宋_GB2312" w:hAnsi="仿宋_GB2312" w:cs="仿宋_GB2312" w:eastAsia="仿宋_GB2312"/>
                <w:sz w:val="21"/>
              </w:rPr>
              <w:t>）、化学需氧量（COD</w:t>
            </w:r>
            <w:r>
              <w:rPr>
                <w:rFonts w:ascii="仿宋_GB2312" w:hAnsi="仿宋_GB2312" w:cs="仿宋_GB2312" w:eastAsia="仿宋_GB2312"/>
                <w:sz w:val="21"/>
                <w:vertAlign w:val="subscript"/>
              </w:rPr>
              <w:t>Cr</w:t>
            </w:r>
            <w:r>
              <w:rPr>
                <w:rFonts w:ascii="仿宋_GB2312" w:hAnsi="仿宋_GB2312" w:cs="仿宋_GB2312" w:eastAsia="仿宋_GB2312"/>
                <w:sz w:val="21"/>
              </w:rPr>
              <w:t>）、悬浮物（SS）、溶解性总固体、氨氮（NH</w:t>
            </w:r>
            <w:r>
              <w:rPr>
                <w:rFonts w:ascii="仿宋_GB2312" w:hAnsi="仿宋_GB2312" w:cs="仿宋_GB2312" w:eastAsia="仿宋_GB2312"/>
                <w:sz w:val="21"/>
                <w:vertAlign w:val="subscript"/>
              </w:rPr>
              <w:t>3</w:t>
            </w:r>
            <w:r>
              <w:rPr>
                <w:rFonts w:ascii="仿宋_GB2312" w:hAnsi="仿宋_GB2312" w:cs="仿宋_GB2312" w:eastAsia="仿宋_GB2312"/>
                <w:sz w:val="21"/>
              </w:rPr>
              <w:t>-N）、总磷、PH 值、动植物油、</w:t>
            </w:r>
            <w:r>
              <w:rPr>
                <w:rFonts w:ascii="仿宋_GB2312" w:hAnsi="仿宋_GB2312" w:cs="仿宋_GB2312" w:eastAsia="仿宋_GB2312"/>
                <w:sz w:val="21"/>
              </w:rPr>
              <w:t>粪大肠菌群</w:t>
            </w:r>
            <w:r>
              <w:rPr>
                <w:rFonts w:ascii="仿宋_GB2312" w:hAnsi="仿宋_GB2312" w:cs="仿宋_GB2312" w:eastAsia="仿宋_GB2312"/>
                <w:sz w:val="21"/>
              </w:rPr>
              <w:t>。（具体按实际约定执行）；</w:t>
            </w:r>
          </w:p>
          <w:p>
            <w:pPr>
              <w:pStyle w:val="null3"/>
              <w:jc w:val="both"/>
            </w:pPr>
            <w:r>
              <w:rPr>
                <w:rFonts w:ascii="仿宋_GB2312" w:hAnsi="仿宋_GB2312" w:cs="仿宋_GB2312" w:eastAsia="仿宋_GB2312"/>
                <w:sz w:val="21"/>
              </w:rPr>
              <w:t>2）自检频率：不少于每月 1 次；</w:t>
            </w:r>
          </w:p>
          <w:p>
            <w:pPr>
              <w:pStyle w:val="null3"/>
              <w:jc w:val="both"/>
            </w:pPr>
            <w:r>
              <w:rPr>
                <w:rFonts w:ascii="仿宋_GB2312" w:hAnsi="仿宋_GB2312" w:cs="仿宋_GB2312" w:eastAsia="仿宋_GB2312"/>
                <w:sz w:val="21"/>
              </w:rPr>
              <w:t>3）自检要求：由具有检测资质（CMA）的第三方现场采样进行，所有检测报告需加盖具备检测资质的第三方单位的检测专用章和公章）。</w:t>
            </w:r>
          </w:p>
          <w:p>
            <w:pPr>
              <w:pStyle w:val="null3"/>
              <w:jc w:val="both"/>
            </w:pPr>
            <w:r>
              <w:rPr>
                <w:rFonts w:ascii="仿宋_GB2312" w:hAnsi="仿宋_GB2312" w:cs="仿宋_GB2312" w:eastAsia="仿宋_GB2312"/>
                <w:sz w:val="21"/>
                <w:b/>
              </w:rPr>
              <w:t>（4）污泥处理：</w:t>
            </w:r>
          </w:p>
          <w:p>
            <w:pPr>
              <w:pStyle w:val="null3"/>
              <w:jc w:val="both"/>
            </w:pPr>
            <w:r>
              <w:rPr>
                <w:rFonts w:ascii="仿宋_GB2312" w:hAnsi="仿宋_GB2312" w:cs="仿宋_GB2312" w:eastAsia="仿宋_GB2312"/>
                <w:sz w:val="21"/>
              </w:rPr>
              <w:t>1）污泥：指在污水处理过程中产生的泥类物质；</w:t>
            </w:r>
          </w:p>
          <w:p>
            <w:pPr>
              <w:pStyle w:val="null3"/>
              <w:jc w:val="both"/>
            </w:pPr>
            <w:r>
              <w:rPr>
                <w:rFonts w:ascii="仿宋_GB2312" w:hAnsi="仿宋_GB2312" w:cs="仿宋_GB2312" w:eastAsia="仿宋_GB2312"/>
                <w:sz w:val="21"/>
              </w:rPr>
              <w:t>2）处置要求：产生的污泥须及时外运处理，外运处置需委托具有相关危（固）废</w:t>
            </w:r>
            <w:r>
              <w:rPr>
                <w:rFonts w:ascii="仿宋_GB2312" w:hAnsi="仿宋_GB2312" w:cs="仿宋_GB2312" w:eastAsia="仿宋_GB2312"/>
                <w:sz w:val="21"/>
              </w:rPr>
              <w:t>处置资质单位进行处理，并提供转运单。</w:t>
            </w:r>
          </w:p>
          <w:p>
            <w:pPr>
              <w:pStyle w:val="null3"/>
              <w:jc w:val="both"/>
            </w:pPr>
            <w:r>
              <w:rPr>
                <w:rFonts w:ascii="仿宋_GB2312" w:hAnsi="仿宋_GB2312" w:cs="仿宋_GB2312" w:eastAsia="仿宋_GB2312"/>
                <w:sz w:val="21"/>
                <w:b/>
              </w:rPr>
              <w:t>（5）管理内容</w:t>
            </w:r>
          </w:p>
          <w:p>
            <w:pPr>
              <w:pStyle w:val="null3"/>
              <w:jc w:val="both"/>
            </w:pPr>
            <w:r>
              <w:rPr>
                <w:rFonts w:ascii="仿宋_GB2312" w:hAnsi="仿宋_GB2312" w:cs="仿宋_GB2312" w:eastAsia="仿宋_GB2312"/>
                <w:sz w:val="21"/>
              </w:rPr>
              <w:t>1）负责西安医学院污水站的系统日常运行、管理、维护、维修、检测等工作，并符合国家相关标准，因设施设备老化故障无法继续使用需更新相关设施设备，并承担相关费用；</w:t>
            </w:r>
          </w:p>
          <w:p>
            <w:pPr>
              <w:pStyle w:val="null3"/>
              <w:jc w:val="both"/>
            </w:pPr>
            <w:r>
              <w:rPr>
                <w:rFonts w:ascii="仿宋_GB2312" w:hAnsi="仿宋_GB2312" w:cs="仿宋_GB2312" w:eastAsia="仿宋_GB2312"/>
                <w:sz w:val="21"/>
              </w:rPr>
              <w:t>2）协助校方到相关管理部门办理审批工作、相关网上排污信息平台的填报工作；</w:t>
            </w:r>
          </w:p>
          <w:p>
            <w:pPr>
              <w:pStyle w:val="null3"/>
              <w:jc w:val="both"/>
            </w:pPr>
            <w:r>
              <w:rPr>
                <w:rFonts w:ascii="仿宋_GB2312" w:hAnsi="仿宋_GB2312" w:cs="仿宋_GB2312" w:eastAsia="仿宋_GB2312"/>
                <w:sz w:val="21"/>
              </w:rPr>
              <w:t>3）负责污水站原料搬运、储存、使用中的安全及设备的运行操作安全；</w:t>
            </w:r>
          </w:p>
          <w:p>
            <w:pPr>
              <w:pStyle w:val="null3"/>
              <w:jc w:val="both"/>
            </w:pPr>
            <w:r>
              <w:rPr>
                <w:rFonts w:ascii="仿宋_GB2312" w:hAnsi="仿宋_GB2312" w:cs="仿宋_GB2312" w:eastAsia="仿宋_GB2312"/>
                <w:sz w:val="21"/>
              </w:rPr>
              <w:t>4）污泥及栅渣的清理处理；</w:t>
            </w:r>
          </w:p>
          <w:p>
            <w:pPr>
              <w:pStyle w:val="null3"/>
              <w:jc w:val="both"/>
            </w:pPr>
            <w:r>
              <w:rPr>
                <w:rFonts w:ascii="仿宋_GB2312" w:hAnsi="仿宋_GB2312" w:cs="仿宋_GB2312" w:eastAsia="仿宋_GB2312"/>
                <w:sz w:val="21"/>
              </w:rPr>
              <w:t>5）站内安全管理工作；</w:t>
            </w:r>
          </w:p>
          <w:p>
            <w:pPr>
              <w:pStyle w:val="null3"/>
              <w:jc w:val="both"/>
            </w:pPr>
            <w:r>
              <w:rPr>
                <w:rFonts w:ascii="仿宋_GB2312" w:hAnsi="仿宋_GB2312" w:cs="仿宋_GB2312" w:eastAsia="仿宋_GB2312"/>
                <w:sz w:val="21"/>
              </w:rPr>
              <w:t>6）爱护站内构筑物，人为造成损坏需修复；</w:t>
            </w:r>
          </w:p>
          <w:p>
            <w:pPr>
              <w:pStyle w:val="null3"/>
              <w:jc w:val="both"/>
            </w:pPr>
            <w:r>
              <w:rPr>
                <w:rFonts w:ascii="仿宋_GB2312" w:hAnsi="仿宋_GB2312" w:cs="仿宋_GB2312" w:eastAsia="仿宋_GB2312"/>
                <w:sz w:val="21"/>
              </w:rPr>
              <w:t>7）承担污水处理站参观人员的讲解及解说工作。</w:t>
            </w:r>
          </w:p>
          <w:p>
            <w:pPr>
              <w:pStyle w:val="null3"/>
              <w:jc w:val="both"/>
            </w:pPr>
            <w:r>
              <w:rPr>
                <w:rFonts w:ascii="仿宋_GB2312" w:hAnsi="仿宋_GB2312" w:cs="仿宋_GB2312" w:eastAsia="仿宋_GB2312"/>
                <w:sz w:val="21"/>
              </w:rPr>
              <w:t>8）管道定期更换</w:t>
            </w:r>
          </w:p>
          <w:p>
            <w:pPr>
              <w:pStyle w:val="null3"/>
              <w:jc w:val="both"/>
            </w:pPr>
            <w:r>
              <w:rPr>
                <w:rFonts w:ascii="仿宋_GB2312" w:hAnsi="仿宋_GB2312" w:cs="仿宋_GB2312" w:eastAsia="仿宋_GB2312"/>
                <w:sz w:val="21"/>
              </w:rPr>
              <w:t>为确保生化系统安全稳定运行运营单位须按照以下要求对CASS 反应池内池底曝气系统优化更新，具体要求如下：每个运维合同期内更换 2 格（含管道支架，站内共 4 格），现有池底管道为国标工业级 UPVC 管，承压等级≥PN10，原则上管径、支架、微孔曝气器更新需与原设计参数一致，如有先进工艺，在满足生化系统运行要求的情况下亦可采用，应由运营单位承担改变工艺所造成的一切后果。</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遇国</w:t>
            </w:r>
            <w:r>
              <w:rPr>
                <w:rFonts w:ascii="仿宋_GB2312" w:hAnsi="仿宋_GB2312" w:cs="仿宋_GB2312" w:eastAsia="仿宋_GB2312"/>
                <w:sz w:val="21"/>
              </w:rPr>
              <w:t>家、行业标准规范修订更新，一律执行最新版本</w:t>
            </w:r>
            <w:r>
              <w:rPr>
                <w:rFonts w:ascii="仿宋_GB2312" w:hAnsi="仿宋_GB2312" w:cs="仿宋_GB2312" w:eastAsia="仿宋_GB2312"/>
                <w:sz w:val="21"/>
              </w:rPr>
              <w:t>，由供应商承担可能产生的风险。</w:t>
            </w:r>
          </w:p>
          <w:p>
            <w:pPr>
              <w:pStyle w:val="null3"/>
              <w:jc w:val="both"/>
            </w:pPr>
            <w:r>
              <w:rPr>
                <w:rFonts w:ascii="仿宋_GB2312" w:hAnsi="仿宋_GB2312" w:cs="仿宋_GB2312" w:eastAsia="仿宋_GB2312"/>
                <w:sz w:val="21"/>
                <w:b/>
              </w:rPr>
              <w:t>3.其他服务要求：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站内设备所有权归学校所有，确保生产污水经过治理后的各项指标达到标准，如遇标准更新必须以更新后标准为准。运营期间做好节电节水管控。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运行、维修保养、人事培训、安全、工艺控制、监测数据、材料等以及所有其他重要事件提供完整的记录。</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确保根据国家和地方政府颁布的规章制度要求进行采样、分析、完成报告，并为采样、测试、分析提供质量控制、质量保证。</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确保提供管理和技术支持服务，确保污水处理站处理系统有效运行。</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确保建立完善的操作规程，建立紧急应急预案机制。</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污水站栅渣、污泥、垃圾的清理，并做好记录。</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建立监测报告制度：污水处理站的运行日志、监测记录、维修记录、固体废弃物处理台帐、污水排放记录表等必须详实纪录并妥善保存，当合同期满后，完整移交给校方。在管理期内，配合校方做好上级部门的监督检查及办理环保相关业务工作，并承担检查结果所造成的一切后果。</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建立维修维护保养制度，有计划性的进行维护保养，保障污水处理站设施设备正常运行、保持良好的处理效果。</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负责提供污水处理站运营所需的药剂。本预算金额已包含污水站消耗药剂费用。</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日常应急性设备故障，在 2 小时内完成；如果需外出采购，在 36 小时内完成；如果需外协加工，在 48 小时内完成。一般的电气故障，如接触不良、开关按钮失灵等，在 2 小时内完成修复；中型的电气故障，如电机损坏等，在 48 小时内修复；大型的电气故障，做到在一周内修复。出现其它问题或突发情况时，应 30 分钟内做出反应，4 小时提供解决方案，6 小时解决问题或有效控制突发情况。</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服务人员数量及组成：</w:t>
            </w:r>
            <w:r>
              <w:rPr>
                <w:rFonts w:ascii="仿宋_GB2312" w:hAnsi="仿宋_GB2312" w:cs="仿宋_GB2312" w:eastAsia="仿宋_GB2312"/>
                <w:sz w:val="21"/>
              </w:rPr>
              <w:t>为确保污水处理站安全平稳运行，运营单位须按照以下原则进行人员配置：站区要求 24 小时有人值守，人员配置总人数不得少于 8 人，每班操作人员不得少于 2 人，现有站区人员应无条件全部予以接收，平稳过渡后根据情况自行调整。</w:t>
            </w:r>
          </w:p>
          <w:p>
            <w:pPr>
              <w:pStyle w:val="null3"/>
            </w:pPr>
            <w:r>
              <w:rPr>
                <w:rFonts w:ascii="仿宋_GB2312" w:hAnsi="仿宋_GB2312" w:cs="仿宋_GB2312" w:eastAsia="仿宋_GB2312"/>
                <w:sz w:val="21"/>
              </w:rPr>
              <w:t>（12）其他要求：项目须配置项目负责人、技术负责人，其中项目负责人须具有环境工程相关专业中级或以上职称，以上人员须在岗在位。</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4、</w:t>
            </w:r>
            <w:r>
              <w:rPr>
                <w:rFonts w:ascii="仿宋_GB2312" w:hAnsi="仿宋_GB2312" w:cs="仿宋_GB2312" w:eastAsia="仿宋_GB2312"/>
                <w:sz w:val="21"/>
                <w:b/>
              </w:rPr>
              <w:t>服务标准：</w:t>
            </w:r>
          </w:p>
          <w:p>
            <w:pPr>
              <w:pStyle w:val="null3"/>
              <w:jc w:val="both"/>
            </w:pPr>
            <w:r>
              <w:rPr>
                <w:rFonts w:ascii="仿宋_GB2312" w:hAnsi="仿宋_GB2312" w:cs="仿宋_GB2312" w:eastAsia="仿宋_GB2312"/>
                <w:sz w:val="21"/>
              </w:rPr>
              <w:t>（1）进水主要水质指标</w:t>
            </w:r>
          </w:p>
          <w:p>
            <w:pPr>
              <w:pStyle w:val="null3"/>
              <w:jc w:val="both"/>
            </w:pPr>
            <w:r>
              <w:rPr>
                <w:rFonts w:ascii="仿宋_GB2312" w:hAnsi="仿宋_GB2312" w:cs="仿宋_GB2312" w:eastAsia="仿宋_GB2312"/>
                <w:sz w:val="21"/>
              </w:rPr>
              <w:t>表一 进水主要水质指标一览表</w:t>
            </w:r>
          </w:p>
          <w:tbl>
            <w:tblPr>
              <w:tblInd w:type="dxa" w:w="165"/>
              <w:tblBorders>
                <w:top w:val="none" w:color="000000" w:sz="4"/>
                <w:left w:val="none" w:color="000000" w:sz="4"/>
                <w:bottom w:val="none" w:color="000000" w:sz="4"/>
                <w:right w:val="none" w:color="000000" w:sz="4"/>
                <w:insideH w:val="none"/>
                <w:insideV w:val="none"/>
              </w:tblBorders>
            </w:tblPr>
            <w:tblGrid>
              <w:gridCol w:w="1057"/>
              <w:gridCol w:w="1057"/>
              <w:gridCol w:w="1057"/>
            </w:tblGrid>
            <w:tr>
              <w:tc>
                <w:tcPr>
                  <w:tcW w:type="dxa" w:w="1057"/>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项</w:t>
                  </w:r>
                  <w:r>
                    <w:rPr>
                      <w:rFonts w:ascii="仿宋_GB2312" w:hAnsi="仿宋_GB2312" w:cs="仿宋_GB2312" w:eastAsia="仿宋_GB2312"/>
                      <w:sz w:val="21"/>
                    </w:rPr>
                    <w:t>目</w:t>
                  </w:r>
                </w:p>
              </w:tc>
              <w:tc>
                <w:tcPr>
                  <w:tcW w:type="dxa" w:w="1057"/>
                  <w:tcBorders>
                    <w:top w:val="single" w:color="000000" w:sz="8"/>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最高浓度</w:t>
                  </w:r>
                </w:p>
              </w:tc>
              <w:tc>
                <w:tcPr>
                  <w:tcW w:type="dxa" w:w="1057"/>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单</w:t>
                  </w:r>
                  <w:r>
                    <w:rPr>
                      <w:rFonts w:ascii="仿宋_GB2312" w:hAnsi="仿宋_GB2312" w:cs="仿宋_GB2312" w:eastAsia="仿宋_GB2312"/>
                      <w:sz w:val="21"/>
                    </w:rPr>
                    <w:t>位</w:t>
                  </w:r>
                </w:p>
              </w:tc>
            </w:tr>
            <w:tr>
              <w:tc>
                <w:tcPr>
                  <w:tcW w:type="dxa" w:w="105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COD</w:t>
                  </w:r>
                  <w:r>
                    <w:rPr>
                      <w:rFonts w:ascii="仿宋_GB2312" w:hAnsi="仿宋_GB2312" w:cs="仿宋_GB2312" w:eastAsia="仿宋_GB2312"/>
                      <w:sz w:val="21"/>
                      <w:vertAlign w:val="subscript"/>
                    </w:rPr>
                    <w:t>Cr</w:t>
                  </w:r>
                </w:p>
              </w:tc>
              <w:tc>
                <w:tcPr>
                  <w:tcW w:type="dxa" w:w="10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350</w:t>
                  </w:r>
                </w:p>
              </w:tc>
              <w:tc>
                <w:tcPr>
                  <w:tcW w:type="dxa" w:w="105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r>
              <w:tc>
                <w:tcPr>
                  <w:tcW w:type="dxa" w:w="105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BOD</w:t>
                  </w:r>
                  <w:r>
                    <w:rPr>
                      <w:rFonts w:ascii="仿宋_GB2312" w:hAnsi="仿宋_GB2312" w:cs="仿宋_GB2312" w:eastAsia="仿宋_GB2312"/>
                      <w:sz w:val="21"/>
                      <w:vertAlign w:val="subscript"/>
                    </w:rPr>
                    <w:t>5</w:t>
                  </w:r>
                </w:p>
              </w:tc>
              <w:tc>
                <w:tcPr>
                  <w:tcW w:type="dxa" w:w="10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200</w:t>
                  </w:r>
                </w:p>
              </w:tc>
              <w:tc>
                <w:tcPr>
                  <w:tcW w:type="dxa" w:w="105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r>
              <w:tc>
                <w:tcPr>
                  <w:tcW w:type="dxa" w:w="105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SS</w:t>
                  </w:r>
                </w:p>
              </w:tc>
              <w:tc>
                <w:tcPr>
                  <w:tcW w:type="dxa" w:w="10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400</w:t>
                  </w:r>
                </w:p>
              </w:tc>
              <w:tc>
                <w:tcPr>
                  <w:tcW w:type="dxa" w:w="105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r>
              <w:tc>
                <w:tcPr>
                  <w:tcW w:type="dxa" w:w="105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pH 值</w:t>
                  </w:r>
                </w:p>
              </w:tc>
              <w:tc>
                <w:tcPr>
                  <w:tcW w:type="dxa" w:w="10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5－9</w:t>
                  </w:r>
                </w:p>
              </w:tc>
              <w:tc>
                <w:tcPr>
                  <w:tcW w:type="dxa" w:w="105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无量纲</w:t>
                  </w:r>
                </w:p>
              </w:tc>
            </w:tr>
            <w:tr>
              <w:tc>
                <w:tcPr>
                  <w:tcW w:type="dxa" w:w="105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氨氮</w:t>
                  </w:r>
                </w:p>
              </w:tc>
              <w:tc>
                <w:tcPr>
                  <w:tcW w:type="dxa" w:w="10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80</w:t>
                  </w:r>
                </w:p>
              </w:tc>
              <w:tc>
                <w:tcPr>
                  <w:tcW w:type="dxa" w:w="105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r>
              <w:tc>
                <w:tcPr>
                  <w:tcW w:type="dxa" w:w="105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总磷</w:t>
                  </w:r>
                </w:p>
              </w:tc>
              <w:tc>
                <w:tcPr>
                  <w:tcW w:type="dxa" w:w="10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8.0</w:t>
                  </w:r>
                </w:p>
              </w:tc>
              <w:tc>
                <w:tcPr>
                  <w:tcW w:type="dxa" w:w="105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r>
              <w:tc>
                <w:tcPr>
                  <w:tcW w:type="dxa" w:w="105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粪大肠菌群</w:t>
                  </w:r>
                </w:p>
              </w:tc>
              <w:tc>
                <w:tcPr>
                  <w:tcW w:type="dxa" w:w="10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3.8×1010</w:t>
                  </w:r>
                </w:p>
              </w:tc>
              <w:tc>
                <w:tcPr>
                  <w:tcW w:type="dxa" w:w="105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MPN/L</w:t>
                  </w:r>
                </w:p>
              </w:tc>
            </w:tr>
            <w:tr>
              <w:tc>
                <w:tcPr>
                  <w:tcW w:type="dxa" w:w="105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动植物油</w:t>
                  </w:r>
                </w:p>
              </w:tc>
              <w:tc>
                <w:tcPr>
                  <w:tcW w:type="dxa" w:w="1057"/>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w:t>
                  </w:r>
                </w:p>
              </w:tc>
              <w:tc>
                <w:tcPr>
                  <w:tcW w:type="dxa" w:w="105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bl>
          <w:p>
            <w:pPr>
              <w:pStyle w:val="null3"/>
              <w:jc w:val="both"/>
            </w:pPr>
            <w:r>
              <w:rPr>
                <w:rFonts w:ascii="仿宋_GB2312" w:hAnsi="仿宋_GB2312" w:cs="仿宋_GB2312" w:eastAsia="仿宋_GB2312"/>
                <w:sz w:val="21"/>
              </w:rPr>
              <w:t>（2）外排出水主要水质指标</w:t>
            </w:r>
          </w:p>
          <w:p>
            <w:pPr>
              <w:pStyle w:val="null3"/>
              <w:jc w:val="both"/>
            </w:pPr>
            <w:r>
              <w:rPr>
                <w:rFonts w:ascii="仿宋_GB2312" w:hAnsi="仿宋_GB2312" w:cs="仿宋_GB2312" w:eastAsia="仿宋_GB2312"/>
                <w:sz w:val="21"/>
              </w:rPr>
              <w:t>表二 外排出水主要水质指标一览表</w:t>
            </w:r>
          </w:p>
          <w:tbl>
            <w:tblPr>
              <w:tblInd w:type="dxa" w:w="165"/>
              <w:tblBorders>
                <w:top w:val="none" w:color="000000" w:sz="4"/>
                <w:left w:val="none" w:color="000000" w:sz="4"/>
                <w:bottom w:val="none" w:color="000000" w:sz="4"/>
                <w:right w:val="none" w:color="000000" w:sz="4"/>
                <w:insideH w:val="none"/>
                <w:insideV w:val="none"/>
              </w:tblBorders>
            </w:tblPr>
            <w:tblGrid>
              <w:gridCol w:w="974"/>
              <w:gridCol w:w="1218"/>
              <w:gridCol w:w="987"/>
            </w:tblGrid>
            <w:tr>
              <w:tc>
                <w:tcPr>
                  <w:tcW w:type="dxa" w:w="974"/>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项</w:t>
                  </w:r>
                  <w:r>
                    <w:rPr>
                      <w:rFonts w:ascii="仿宋_GB2312" w:hAnsi="仿宋_GB2312" w:cs="仿宋_GB2312" w:eastAsia="仿宋_GB2312"/>
                      <w:sz w:val="21"/>
                    </w:rPr>
                    <w:t>目</w:t>
                  </w:r>
                </w:p>
              </w:tc>
              <w:tc>
                <w:tcPr>
                  <w:tcW w:type="dxa" w:w="1218"/>
                  <w:tcBorders>
                    <w:top w:val="single" w:color="000000" w:sz="8"/>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最高浓度</w:t>
                  </w:r>
                </w:p>
              </w:tc>
              <w:tc>
                <w:tcPr>
                  <w:tcW w:type="dxa" w:w="987"/>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单</w:t>
                  </w:r>
                  <w:r>
                    <w:rPr>
                      <w:rFonts w:ascii="仿宋_GB2312" w:hAnsi="仿宋_GB2312" w:cs="仿宋_GB2312" w:eastAsia="仿宋_GB2312"/>
                      <w:sz w:val="21"/>
                    </w:rPr>
                    <w:t>位</w:t>
                  </w:r>
                </w:p>
              </w:tc>
            </w:tr>
            <w:tr>
              <w:tc>
                <w:tcPr>
                  <w:tcW w:type="dxa" w:w="97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COD</w:t>
                  </w:r>
                  <w:r>
                    <w:rPr>
                      <w:rFonts w:ascii="仿宋_GB2312" w:hAnsi="仿宋_GB2312" w:cs="仿宋_GB2312" w:eastAsia="仿宋_GB2312"/>
                      <w:sz w:val="21"/>
                      <w:vertAlign w:val="subscript"/>
                    </w:rPr>
                    <w:t>Cr</w:t>
                  </w:r>
                </w:p>
              </w:tc>
              <w:tc>
                <w:tcPr>
                  <w:tcW w:type="dxa" w:w="12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≤60</w:t>
                  </w:r>
                </w:p>
              </w:tc>
              <w:tc>
                <w:tcPr>
                  <w:tcW w:type="dxa" w:w="98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r>
              <w:tc>
                <w:tcPr>
                  <w:tcW w:type="dxa" w:w="97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BOD</w:t>
                  </w:r>
                  <w:r>
                    <w:rPr>
                      <w:rFonts w:ascii="仿宋_GB2312" w:hAnsi="仿宋_GB2312" w:cs="仿宋_GB2312" w:eastAsia="仿宋_GB2312"/>
                      <w:sz w:val="21"/>
                      <w:vertAlign w:val="subscript"/>
                    </w:rPr>
                    <w:t>5</w:t>
                  </w:r>
                </w:p>
              </w:tc>
              <w:tc>
                <w:tcPr>
                  <w:tcW w:type="dxa" w:w="12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p>
              </w:tc>
              <w:tc>
                <w:tcPr>
                  <w:tcW w:type="dxa" w:w="98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r>
              <w:tc>
                <w:tcPr>
                  <w:tcW w:type="dxa" w:w="97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SS</w:t>
                  </w:r>
                </w:p>
              </w:tc>
              <w:tc>
                <w:tcPr>
                  <w:tcW w:type="dxa" w:w="12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p>
              </w:tc>
              <w:tc>
                <w:tcPr>
                  <w:tcW w:type="dxa" w:w="98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r>
              <w:tc>
                <w:tcPr>
                  <w:tcW w:type="dxa" w:w="974"/>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pH 值</w:t>
                  </w:r>
                </w:p>
              </w:tc>
              <w:tc>
                <w:tcPr>
                  <w:tcW w:type="dxa" w:w="1218"/>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6.5～9</w:t>
                  </w:r>
                </w:p>
              </w:tc>
              <w:tc>
                <w:tcPr>
                  <w:tcW w:type="dxa" w:w="9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无量纲</w:t>
                  </w:r>
                </w:p>
              </w:tc>
            </w:tr>
            <w:tr>
              <w:tc>
                <w:tcPr>
                  <w:tcW w:type="dxa" w:w="97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氨氮</w:t>
                  </w:r>
                </w:p>
              </w:tc>
              <w:tc>
                <w:tcPr>
                  <w:tcW w:type="dxa" w:w="12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p>
              </w:tc>
              <w:tc>
                <w:tcPr>
                  <w:tcW w:type="dxa" w:w="98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r>
              <w:tc>
                <w:tcPr>
                  <w:tcW w:type="dxa" w:w="97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总磷</w:t>
                  </w:r>
                </w:p>
              </w:tc>
              <w:tc>
                <w:tcPr>
                  <w:tcW w:type="dxa" w:w="12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≤8.0</w:t>
                  </w:r>
                </w:p>
              </w:tc>
              <w:tc>
                <w:tcPr>
                  <w:tcW w:type="dxa" w:w="98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r>
              <w:tc>
                <w:tcPr>
                  <w:tcW w:type="dxa" w:w="97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粪大肠菌群</w:t>
                  </w:r>
                </w:p>
              </w:tc>
              <w:tc>
                <w:tcPr>
                  <w:tcW w:type="dxa" w:w="12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≤500</w:t>
                  </w:r>
                </w:p>
              </w:tc>
              <w:tc>
                <w:tcPr>
                  <w:tcW w:type="dxa" w:w="98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MPN/L</w:t>
                  </w:r>
                </w:p>
              </w:tc>
            </w:tr>
            <w:tr>
              <w:tc>
                <w:tcPr>
                  <w:tcW w:type="dxa" w:w="97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动植物油</w:t>
                  </w:r>
                </w:p>
              </w:tc>
              <w:tc>
                <w:tcPr>
                  <w:tcW w:type="dxa" w:w="12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≤5.0</w:t>
                  </w:r>
                </w:p>
              </w:tc>
              <w:tc>
                <w:tcPr>
                  <w:tcW w:type="dxa" w:w="98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r>
              <w:tc>
                <w:tcPr>
                  <w:tcW w:type="dxa" w:w="974"/>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溶解性总固体</w:t>
                  </w:r>
                </w:p>
              </w:tc>
              <w:tc>
                <w:tcPr>
                  <w:tcW w:type="dxa" w:w="1218"/>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w:t>
                  </w:r>
                </w:p>
              </w:tc>
              <w:tc>
                <w:tcPr>
                  <w:tcW w:type="dxa" w:w="98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bl>
          <w:p>
            <w:pPr>
              <w:pStyle w:val="null3"/>
              <w:jc w:val="both"/>
            </w:pPr>
            <w:r>
              <w:rPr>
                <w:rFonts w:ascii="仿宋_GB2312" w:hAnsi="仿宋_GB2312" w:cs="仿宋_GB2312" w:eastAsia="仿宋_GB2312"/>
                <w:sz w:val="21"/>
              </w:rPr>
              <w:t>（3）回用出水主要水质指标</w:t>
            </w:r>
          </w:p>
          <w:p>
            <w:pPr>
              <w:pStyle w:val="null3"/>
              <w:jc w:val="both"/>
            </w:pPr>
            <w:r>
              <w:rPr>
                <w:rFonts w:ascii="仿宋_GB2312" w:hAnsi="仿宋_GB2312" w:cs="仿宋_GB2312" w:eastAsia="仿宋_GB2312"/>
                <w:sz w:val="21"/>
              </w:rPr>
              <w:t>表三 回用出水主要水质指标一览表</w:t>
            </w:r>
          </w:p>
          <w:tbl>
            <w:tblPr>
              <w:tblInd w:type="dxa" w:w="120"/>
              <w:tblBorders>
                <w:top w:val="none" w:color="000000" w:sz="4"/>
                <w:left w:val="none" w:color="000000" w:sz="4"/>
                <w:bottom w:val="none" w:color="000000" w:sz="4"/>
                <w:right w:val="none" w:color="000000" w:sz="4"/>
                <w:insideH w:val="none"/>
                <w:insideV w:val="none"/>
              </w:tblBorders>
            </w:tblPr>
            <w:tblGrid>
              <w:gridCol w:w="1109"/>
              <w:gridCol w:w="1085"/>
              <w:gridCol w:w="982"/>
            </w:tblGrid>
            <w:tr>
              <w:tc>
                <w:tcPr>
                  <w:tcW w:type="dxa" w:w="1109"/>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项</w:t>
                  </w:r>
                  <w:r>
                    <w:rPr>
                      <w:rFonts w:ascii="仿宋_GB2312" w:hAnsi="仿宋_GB2312" w:cs="仿宋_GB2312" w:eastAsia="仿宋_GB2312"/>
                      <w:sz w:val="21"/>
                    </w:rPr>
                    <w:t>目</w:t>
                  </w:r>
                </w:p>
              </w:tc>
              <w:tc>
                <w:tcPr>
                  <w:tcW w:type="dxa" w:w="1085"/>
                  <w:tcBorders>
                    <w:top w:val="single" w:color="000000" w:sz="8"/>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最高浓度</w:t>
                  </w:r>
                </w:p>
              </w:tc>
              <w:tc>
                <w:tcPr>
                  <w:tcW w:type="dxa" w:w="982"/>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单</w:t>
                  </w:r>
                  <w:r>
                    <w:rPr>
                      <w:rFonts w:ascii="仿宋_GB2312" w:hAnsi="仿宋_GB2312" w:cs="仿宋_GB2312" w:eastAsia="仿宋_GB2312"/>
                      <w:sz w:val="21"/>
                    </w:rPr>
                    <w:t>位</w:t>
                  </w:r>
                </w:p>
              </w:tc>
            </w:tr>
            <w:tr>
              <w:tc>
                <w:tcPr>
                  <w:tcW w:type="dxa" w:w="11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BOD</w:t>
                  </w:r>
                  <w:r>
                    <w:rPr>
                      <w:rFonts w:ascii="仿宋_GB2312" w:hAnsi="仿宋_GB2312" w:cs="仿宋_GB2312" w:eastAsia="仿宋_GB2312"/>
                      <w:sz w:val="21"/>
                      <w:vertAlign w:val="subscript"/>
                    </w:rPr>
                    <w:t>5</w:t>
                  </w:r>
                </w:p>
              </w:tc>
              <w:tc>
                <w:tcPr>
                  <w:tcW w:type="dxa" w:w="10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p>
              </w:tc>
              <w:tc>
                <w:tcPr>
                  <w:tcW w:type="dxa" w:w="982"/>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r>
              <w:tc>
                <w:tcPr>
                  <w:tcW w:type="dxa" w:w="11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色度</w:t>
                  </w:r>
                </w:p>
              </w:tc>
              <w:tc>
                <w:tcPr>
                  <w:tcW w:type="dxa" w:w="10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≤30</w:t>
                  </w:r>
                </w:p>
              </w:tc>
              <w:tc>
                <w:tcPr>
                  <w:tcW w:type="dxa" w:w="982"/>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度</w:t>
                  </w:r>
                </w:p>
              </w:tc>
            </w:tr>
            <w:tr>
              <w:tc>
                <w:tcPr>
                  <w:tcW w:type="dxa" w:w="11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pH 值</w:t>
                  </w:r>
                </w:p>
              </w:tc>
              <w:tc>
                <w:tcPr>
                  <w:tcW w:type="dxa" w:w="10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6－9</w:t>
                  </w:r>
                </w:p>
              </w:tc>
              <w:tc>
                <w:tcPr>
                  <w:tcW w:type="dxa" w:w="982"/>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无量纲</w:t>
                  </w:r>
                </w:p>
              </w:tc>
            </w:tr>
            <w:tr>
              <w:tc>
                <w:tcPr>
                  <w:tcW w:type="dxa" w:w="11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氨氮</w:t>
                  </w:r>
                </w:p>
              </w:tc>
              <w:tc>
                <w:tcPr>
                  <w:tcW w:type="dxa" w:w="10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982"/>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r>
              <w:tc>
                <w:tcPr>
                  <w:tcW w:type="dxa" w:w="11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浊度</w:t>
                  </w:r>
                </w:p>
              </w:tc>
              <w:tc>
                <w:tcPr>
                  <w:tcW w:type="dxa" w:w="10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982"/>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NTU</w:t>
                  </w:r>
                </w:p>
              </w:tc>
            </w:tr>
            <w:tr>
              <w:tc>
                <w:tcPr>
                  <w:tcW w:type="dxa" w:w="11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溶解性总固体</w:t>
                  </w:r>
                </w:p>
              </w:tc>
              <w:tc>
                <w:tcPr>
                  <w:tcW w:type="dxa" w:w="10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≤1000</w:t>
                  </w:r>
                </w:p>
              </w:tc>
              <w:tc>
                <w:tcPr>
                  <w:tcW w:type="dxa" w:w="982"/>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r>
              <w:tc>
                <w:tcPr>
                  <w:tcW w:type="dxa" w:w="11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总大肠菌群</w:t>
                  </w:r>
                </w:p>
              </w:tc>
              <w:tc>
                <w:tcPr>
                  <w:tcW w:type="dxa" w:w="10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982"/>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个/L</w:t>
                  </w:r>
                </w:p>
              </w:tc>
            </w:tr>
            <w:tr>
              <w:tc>
                <w:tcPr>
                  <w:tcW w:type="dxa" w:w="11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阴离子表面活性剂</w:t>
                  </w:r>
                </w:p>
              </w:tc>
              <w:tc>
                <w:tcPr>
                  <w:tcW w:type="dxa" w:w="10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982"/>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r>
              <w:tc>
                <w:tcPr>
                  <w:tcW w:type="dxa" w:w="11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溶解氧</w:t>
                  </w:r>
                </w:p>
              </w:tc>
              <w:tc>
                <w:tcPr>
                  <w:tcW w:type="dxa" w:w="10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982"/>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r>
              <w:tc>
                <w:tcPr>
                  <w:tcW w:type="dxa" w:w="1109"/>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总余氯</w:t>
                  </w:r>
                </w:p>
              </w:tc>
              <w:tc>
                <w:tcPr>
                  <w:tcW w:type="dxa" w:w="1085"/>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接触 30min 后≥1.0，管网末端≥0.2</w:t>
                  </w:r>
                </w:p>
              </w:tc>
              <w:tc>
                <w:tcPr>
                  <w:tcW w:type="dxa" w:w="98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mg/L</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本项目服务期两年，第一年合同期满经验收合格可续签一年。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西安医学院未央校区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要求定期对水质进行化验，每月按时上报采购方由污水检测资质的单位出具的污水处理站水质检测报告，做到达标排放。处理后外排出水水质达到《污水综合排放标准》（GB8978-1996）一级排放标准、《污水排入城镇下水道水质标准》（GB/T31962-2015）C级标准及《医疗机构水污染物排放标准》（GB18466-2005）中表2排放标准限值。回用水水质达到《城市污水再生利用城市杂用水水质标准》（GB/T18920-2020）中规定的绿化及道路喷洒用水水质指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进度款，无预付款，无质量及服务问题，服务期满半年，达到付款条件起10个工作日内，支付合同总金额的50.0%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进度款，合同期满前经验收合格，达到付款条件起10个工作日内，支付合同总金额的50.0%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果供应商未按照政府采购合同规定的要求提供服务；或供应商未能履行政府采购合同规定的任何其它义务时，采购人有权向供应商发出违约通知书，供应商应按照采购人选择的下列一种或多种方式承担赔偿责任：1.1在采购人同意延长的期限内提供服务并承担由此给采购人造成的一切损失；1.2在采购人规定的时间内，用符合政府采购合同规定的服务以达到政府采购合同规定的要求，供应商应承担由此发生的一切费用和风险。此时，相关服务的期限也应相应延长；1.3采购人有权部分或全部解除政府采购合同并要求供应商赔偿由此造成的损失。此时需方可采取必要的补救措施，相关费用由供应商承担。2.如果供应商在收到采购人的违约通知书后10日内未作答复也没有按照采购人选择的方式承担违约责任，则采购人有权从履约保证金、尚未支付的政府采购合同价款中扣回索赔金额。如果这些金额不足以补偿，采购人有权向供应商提出不足部分的赔偿要求。3.延期服务的违约责任3.1如果供应商没有按照政府采购合同规定的时间提供服务，采购人可要求供应商支付违约金。违约金按照每周未提供服务费用的0.5%计收，但违约金的最高限额为未提供服务的合同价格的5%。一周按7天计算，不足7天按一周计算。如果达到最高限额，采购人有权解除政府采购合同。4.以上各项交付的违约金并不影响违约方履行政府采购合同的各项义务。3.解决争议的方法：3.1对本协议有关的任何争议，双方应友好协商解决。3.2争议未能解决的，可以通过学校所在地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3.4.1合同支付约定：无预付款，无质量及服务问题，服务期满半年支付合同总价的50%，合同期满前经验收合格支付剩余款项。（因格式限制，支付约定以此条为准） 3.4.2为为顺利推进政府采购电子化交易平台应用工作，投标人需要在线提交所有通过电子化交易平台实施的政府采购项目的投标文件。 注：生成PDF电子文件时，先将各分册合并为完整一册，统一在响应文件页脚正中间编制整册连续页码，确保页码连贯、位置统一。结果公告发布后，成交单位须线下提供纸质响应文件壹份，生成的完整纸质响应文件建议A4纸双面打印，装订成册并编制目录和页码，加盖公章。邮寄（仅接收顺丰快递，勿寄顺丰同城）或至代理机构提交均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盖章，或提供递交响应文件截止时间前6个月内银行出具的资信证明，或财政部门认可的政府采购专业担保机构出具的投标担保函（以上三种形式的资料提供任何一种即可）。注：提供财务报告的,必须为上传至注册会计师行业统一监管平台(http://acc.mof.gov.cn)并具有全国统一的二维码的财务报告。供应商需在项目电子化交易系统中按要求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07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07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特殊资质</w:t>
            </w:r>
          </w:p>
        </w:tc>
        <w:tc>
          <w:tcPr>
            <w:tcW w:type="dxa" w:w="3322"/>
          </w:tcPr>
          <w:p>
            <w:pPr>
              <w:pStyle w:val="null3"/>
            </w:pPr>
            <w:r>
              <w:rPr>
                <w:rFonts w:ascii="仿宋_GB2312" w:hAnsi="仿宋_GB2312" w:cs="仿宋_GB2312" w:eastAsia="仿宋_GB2312"/>
              </w:rPr>
              <w:t>供应商应具备建设行政主管部门核发的环保工程专业承包三级及以上（含三级）资质并提供有效的安全生产许可证。供应商需在项目电子化交易系统中按要求进行电子签章。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附件4-相关方案.docx 中小企业声明函 残疾人福利性单位声明函 附件3-（授权、书面声明、承诺）.docx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响应文件的签字盖章是否按照磋商文件要求进行的</w:t>
            </w:r>
          </w:p>
        </w:tc>
        <w:tc>
          <w:tcPr>
            <w:tcW w:type="dxa" w:w="1661"/>
          </w:tcPr>
          <w:p>
            <w:pPr>
              <w:pStyle w:val="null3"/>
            </w:pPr>
            <w:r>
              <w:rPr>
                <w:rFonts w:ascii="仿宋_GB2312" w:hAnsi="仿宋_GB2312" w:cs="仿宋_GB2312" w:eastAsia="仿宋_GB2312"/>
              </w:rPr>
              <w:t>响应文件封面 附件4-相关方案.docx 中小企业声明函 残疾人福利性单位声明函 附件3-（授权、书面声明、承诺）.docx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磋商有效期是否满足招标最低要求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磋商报价是否唯一有效或磋商报价是否未超过采购预算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商务、技术服务要求是否满足实质性要求</w:t>
            </w:r>
          </w:p>
        </w:tc>
        <w:tc>
          <w:tcPr>
            <w:tcW w:type="dxa" w:w="3322"/>
          </w:tcPr>
          <w:p>
            <w:pPr>
              <w:pStyle w:val="null3"/>
            </w:pPr>
            <w:r>
              <w:rPr>
                <w:rFonts w:ascii="仿宋_GB2312" w:hAnsi="仿宋_GB2312" w:cs="仿宋_GB2312" w:eastAsia="仿宋_GB2312"/>
              </w:rPr>
              <w:t>商务、技术服务要求是否满足实质性要求的</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评审得分相同的，按照最后报价由低到高的顺序推荐。评审得分且最后报价相同的，按照技术服务指标优劣顺序推荐。评审得分且最后报价且技术服务指标得分均相同的，成交候选供应商并列。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针对本项目有具体实施方案，内容包含①总体实施方案；②计划进度安排；③项目实施过程中质量保证；④项目验收方案。 二、评审标准 1、完整性：方案须全面，对评审内容中的各项要求描述详细； 2、可实施性：切合本项目实际情况，实施步骤清晰、合理；3、针对性：方案能够紧扣项目实际情况，内容科学合理。 三、赋分标准（满分12分）①总体实施方案：每完全满足一个评审标准得1分，每有一处内容存在缺陷，扣0.2分，满分3分；②计划进度安排:每完全满足一个评审标准得1分，每有一处内容存在缺陷，扣0.2分，满分3分；③项目实施过程中质量保证:每完全满足一个评审标准得1分，每有一处内容存在缺陷，扣0.2分，满分3分；④项目验收方案：每完全满足一个评审标准得1分，每有一处内容存在缺陷，扣0.2分，满分3分。（本文所称“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附件4-相关方案.docx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针对本项目配备维保及服务人员团队，包括但不限于维保人员、驻点服务人员等，内容包含①人员架构完善、人员配置齐全；②岗位分配合理；③团队人员经验丰富。 二、评审标准 1、完整性：方案须全面，对评审内容中的各项要求描述详细； 2、可实施性：切合本项目实际情况，实施步骤清晰、合理；3、针对性：方案能够紧扣项目实际情况，内容科学合理。 三、赋分标准（满分6分）①人员架构完善、人员配置齐全：每完全满足一个评审标准得1分，每有一处内容存在缺陷，扣0.2分，满分3分；②岗位分配合理:每完全满足一个评审标准得0.5分，每有一处内容存在缺陷，扣0.2分，满分1.5分；③团队人员经验丰富:每完全满足一个评审标准得0.5分，每有一处内容存在缺陷，扣0.2分，满分1.5分。（本文所称“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附件4-相关方案.docx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针对本项目有具体的质量保障措施，内容包含①质量安全保障措施；②服务管理制度；③合理化建议。 二、评审标准 1、完整性：方案须全面，对评审内容中的各项要求描述详细； 2、可实施性：切合本项目实际情况，实施步骤清晰、合理；3、针对性：方案能够紧扣项目实际情况，内容科学合理。 三、赋分标准（满分9分）①质量安全保障措施：每完全满足一个评审标准得1分，每有一处内容存在缺陷，扣0.2分，满分3分；②服务管理制度:每完全满足一个评审标准得1分，每有一处内容存在缺陷，扣0.2分，满分3分；③合理化建议:每完全满足一个评审标准得1分，每有一处内容存在缺陷，扣0.2分，满分3分。（本文所称“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附件4-相关方案.docx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针对本项目有提供具体的应急措施方案①突然断水、断电的应急措施；②雨、污水管网突然阻塞的应急措施；③发生设备故障的应急措施；④自然灾害、恶劣天气下的应急措施。 二、评审标准 1、完整性：方案须全面，对评审内容中的各项要求描述详细； 2、可实施性：切合本项目实际情况，实施步骤清晰、合理；3、针对性：方案能够紧扣项目实际情况，内容科学合理。 三、赋分标准（满分12分）①突然断水、断电的应急措施：每完全满足一个评审标准得1分，每有一处内容存在缺陷，扣0.2分，满分3分；②雨、污水管网突然阻塞的应急措施:每完全满足一个评审标准得1分，每有一处内容存在缺陷，扣0.2分，满分3分；③发生设备故障的应急措施:每完全满足一个评审标准得1分，每有一处内容存在缺陷，扣0.2分，满分3分；④自然灾害、恶劣天气下的应急措施：每完全满足一个评审标准得1分，每有一处内容存在缺陷，扣0.2分，满分3分。（本文所称“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附件4-相关方案.docx</w:t>
            </w:r>
          </w:p>
        </w:tc>
      </w:tr>
      <w:tr>
        <w:tc>
          <w:tcPr>
            <w:tcW w:type="dxa" w:w="831"/>
            <w:vMerge/>
          </w:tcPr>
          <w:p/>
        </w:tc>
        <w:tc>
          <w:tcPr>
            <w:tcW w:type="dxa" w:w="1661"/>
          </w:tcPr>
          <w:p>
            <w:pPr>
              <w:pStyle w:val="null3"/>
            </w:pPr>
            <w:r>
              <w:rPr>
                <w:rFonts w:ascii="仿宋_GB2312" w:hAnsi="仿宋_GB2312" w:cs="仿宋_GB2312" w:eastAsia="仿宋_GB2312"/>
              </w:rPr>
              <w:t>人员资质</w:t>
            </w:r>
          </w:p>
        </w:tc>
        <w:tc>
          <w:tcPr>
            <w:tcW w:type="dxa" w:w="2492"/>
          </w:tcPr>
          <w:p>
            <w:pPr>
              <w:pStyle w:val="null3"/>
            </w:pPr>
            <w:r>
              <w:rPr>
                <w:rFonts w:ascii="仿宋_GB2312" w:hAnsi="仿宋_GB2312" w:cs="仿宋_GB2312" w:eastAsia="仿宋_GB2312"/>
              </w:rPr>
              <w:t>1.供应商所配备的项目负责人具有环境工程相关专业中级或以上职称的得3分； 2.供应商委派水质检测人员（化验员）具有生态环境监测上岗合格证的得2分； 3.供应商委派的现场安全人员具有低压电工证的得2分； 4.供应商委派的现场维修人员具有有限空间作业操作证得2分； 5.供应商委派现场运行人员具有污水处理工（中级及以上）人员，每提供1人资质证书得1.5分，满分为6分。 提供资料不全或未提供资质证书的不得分。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附件4-相关方案.docx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每承诺一项增值服务的得1分，提供承诺函，未提供或承诺不全的不得分。（包括但不限于排污许可全周期代办服务、迎检专项保障、年度环保合规评估报告、年度免费深度检修及清洗服务、采购人人员免费环保实操培训、除臭降噪增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附件4-相关方案.docx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投标人提供自2023年7月1日起（以合同签订日为准）至今承担过类似业绩，每提供1个完整的业绩合同得2分，最高得10分。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附件4-相关方案.docx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投标人的价格为评审基准价，其价格分为满分。其他投标人的价格分统一按照下列公式计算：投标报价得分=(评审基准价/投标总报价)×价格权值×100%。(注：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详见附件：附件3-（授权、书面声明、承诺）.docx</w:t>
      </w:r>
    </w:p>
    <w:p>
      <w:pPr>
        <w:pStyle w:val="null3"/>
        <w:ind w:firstLine="960"/>
      </w:pPr>
      <w:r>
        <w:rPr>
          <w:rFonts w:ascii="仿宋_GB2312" w:hAnsi="仿宋_GB2312" w:cs="仿宋_GB2312" w:eastAsia="仿宋_GB2312"/>
        </w:rPr>
        <w:t>详见附件：附件4-相关方案.docx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详见附件：附件6-西安医学院服务类采购合同（模板）.docx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