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0"/>
        <w:tblW w:w="96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1175"/>
        <w:gridCol w:w="6035"/>
        <w:gridCol w:w="650"/>
        <w:gridCol w:w="1088"/>
      </w:tblGrid>
      <w:tr w14:paraId="1A82B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84" w:type="dxa"/>
            <w:noWrap w:val="0"/>
            <w:vAlign w:val="center"/>
          </w:tcPr>
          <w:p w14:paraId="43FA3BB7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序号</w:t>
            </w:r>
          </w:p>
        </w:tc>
        <w:tc>
          <w:tcPr>
            <w:tcW w:w="1175" w:type="dxa"/>
            <w:noWrap w:val="0"/>
            <w:vAlign w:val="center"/>
          </w:tcPr>
          <w:p w14:paraId="1E6F078B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项目</w:t>
            </w:r>
          </w:p>
        </w:tc>
        <w:tc>
          <w:tcPr>
            <w:tcW w:w="6035" w:type="dxa"/>
            <w:noWrap w:val="0"/>
            <w:vAlign w:val="center"/>
          </w:tcPr>
          <w:p w14:paraId="0C569216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内容</w:t>
            </w:r>
          </w:p>
        </w:tc>
        <w:tc>
          <w:tcPr>
            <w:tcW w:w="650" w:type="dxa"/>
            <w:noWrap w:val="0"/>
            <w:vAlign w:val="center"/>
          </w:tcPr>
          <w:p w14:paraId="0A69B509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分值</w:t>
            </w:r>
          </w:p>
        </w:tc>
        <w:tc>
          <w:tcPr>
            <w:tcW w:w="1088" w:type="dxa"/>
            <w:noWrap w:val="0"/>
            <w:vAlign w:val="center"/>
          </w:tcPr>
          <w:p w14:paraId="36A78600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备注</w:t>
            </w:r>
          </w:p>
        </w:tc>
      </w:tr>
      <w:tr w14:paraId="64FF9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684" w:type="dxa"/>
            <w:vMerge w:val="restart"/>
            <w:noWrap w:val="0"/>
            <w:vAlign w:val="center"/>
          </w:tcPr>
          <w:p w14:paraId="13686020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1</w:t>
            </w:r>
          </w:p>
        </w:tc>
        <w:tc>
          <w:tcPr>
            <w:tcW w:w="1175" w:type="dxa"/>
            <w:vMerge w:val="restart"/>
            <w:noWrap w:val="0"/>
            <w:vAlign w:val="center"/>
          </w:tcPr>
          <w:p w14:paraId="7CABAC8E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制度完善</w:t>
            </w:r>
          </w:p>
        </w:tc>
        <w:tc>
          <w:tcPr>
            <w:tcW w:w="6035" w:type="dxa"/>
            <w:noWrap w:val="0"/>
            <w:vAlign w:val="center"/>
          </w:tcPr>
          <w:p w14:paraId="5C55E994">
            <w:pPr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建立完善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auto"/>
                <w:szCs w:val="21"/>
              </w:rPr>
              <w:t>工艺管理制度，制定严格的岗位责任制（设备保养制度、交接班制度、安全操作制度）</w:t>
            </w:r>
          </w:p>
        </w:tc>
        <w:tc>
          <w:tcPr>
            <w:tcW w:w="650" w:type="dxa"/>
            <w:noWrap w:val="0"/>
            <w:vAlign w:val="center"/>
          </w:tcPr>
          <w:p w14:paraId="79FBC04D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5</w:t>
            </w:r>
          </w:p>
        </w:tc>
        <w:tc>
          <w:tcPr>
            <w:tcW w:w="1088" w:type="dxa"/>
            <w:vMerge w:val="restart"/>
            <w:noWrap w:val="0"/>
            <w:vAlign w:val="center"/>
          </w:tcPr>
          <w:p w14:paraId="7BF7A465">
            <w:pPr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 xml:space="preserve">90 分 </w:t>
            </w:r>
          </w:p>
          <w:p w14:paraId="1829EC33">
            <w:pPr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 xml:space="preserve">以 上 为 </w:t>
            </w:r>
          </w:p>
          <w:p w14:paraId="06C28B4B">
            <w:pPr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 xml:space="preserve">优秀，80 </w:t>
            </w:r>
          </w:p>
          <w:p w14:paraId="6A6A1958">
            <w:pPr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 xml:space="preserve">分 以 上 </w:t>
            </w:r>
          </w:p>
          <w:p w14:paraId="42722466">
            <w:pPr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 xml:space="preserve">为良好， </w:t>
            </w:r>
          </w:p>
          <w:p w14:paraId="4BCCA5C7">
            <w:pPr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 xml:space="preserve">低 于 80 </w:t>
            </w:r>
          </w:p>
          <w:p w14:paraId="75A78010">
            <w:pPr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 xml:space="preserve">分 为 不 </w:t>
            </w:r>
          </w:p>
          <w:p w14:paraId="53C84CEE">
            <w:pPr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合格。</w:t>
            </w:r>
          </w:p>
          <w:p w14:paraId="14014157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</w:tr>
      <w:tr w14:paraId="25C7A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684" w:type="dxa"/>
            <w:vMerge w:val="continue"/>
            <w:noWrap w:val="0"/>
            <w:vAlign w:val="center"/>
          </w:tcPr>
          <w:p w14:paraId="598978E9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1175" w:type="dxa"/>
            <w:vMerge w:val="continue"/>
            <w:noWrap w:val="0"/>
            <w:vAlign w:val="center"/>
          </w:tcPr>
          <w:p w14:paraId="5137BC43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6035" w:type="dxa"/>
            <w:noWrap w:val="0"/>
            <w:vAlign w:val="center"/>
          </w:tcPr>
          <w:p w14:paraId="79630866">
            <w:pPr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遵守学校及污水站的管理制度，严格执行操作规程。</w:t>
            </w:r>
          </w:p>
        </w:tc>
        <w:tc>
          <w:tcPr>
            <w:tcW w:w="650" w:type="dxa"/>
            <w:noWrap w:val="0"/>
            <w:vAlign w:val="center"/>
          </w:tcPr>
          <w:p w14:paraId="362AB2F5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5</w:t>
            </w:r>
          </w:p>
        </w:tc>
        <w:tc>
          <w:tcPr>
            <w:tcW w:w="1088" w:type="dxa"/>
            <w:vMerge w:val="continue"/>
            <w:noWrap w:val="0"/>
            <w:vAlign w:val="center"/>
          </w:tcPr>
          <w:p w14:paraId="0E5FA54E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</w:tr>
      <w:tr w14:paraId="10714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  <w:jc w:val="center"/>
        </w:trPr>
        <w:tc>
          <w:tcPr>
            <w:tcW w:w="684" w:type="dxa"/>
            <w:noWrap w:val="0"/>
            <w:vAlign w:val="center"/>
          </w:tcPr>
          <w:p w14:paraId="0AE194B4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2</w:t>
            </w:r>
          </w:p>
        </w:tc>
        <w:tc>
          <w:tcPr>
            <w:tcW w:w="1175" w:type="dxa"/>
            <w:noWrap w:val="0"/>
            <w:vAlign w:val="center"/>
          </w:tcPr>
          <w:p w14:paraId="1BCE6A7F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岗位要求</w:t>
            </w:r>
          </w:p>
        </w:tc>
        <w:tc>
          <w:tcPr>
            <w:tcW w:w="6035" w:type="dxa"/>
            <w:noWrap w:val="0"/>
            <w:vAlign w:val="center"/>
          </w:tcPr>
          <w:p w14:paraId="7367B075">
            <w:pPr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各岗位操作人员应经过专业培训，了解处理工艺，熟悉本岗位设施、设备的运行要求和技术指标，并熟练掌握本岗位工作技能。</w:t>
            </w:r>
          </w:p>
        </w:tc>
        <w:tc>
          <w:tcPr>
            <w:tcW w:w="650" w:type="dxa"/>
            <w:noWrap w:val="0"/>
            <w:vAlign w:val="center"/>
          </w:tcPr>
          <w:p w14:paraId="0D526F97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10</w:t>
            </w:r>
          </w:p>
        </w:tc>
        <w:tc>
          <w:tcPr>
            <w:tcW w:w="1088" w:type="dxa"/>
            <w:vMerge w:val="continue"/>
            <w:noWrap w:val="0"/>
            <w:vAlign w:val="center"/>
          </w:tcPr>
          <w:p w14:paraId="315677EC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</w:tr>
      <w:tr w14:paraId="5DF33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  <w:jc w:val="center"/>
        </w:trPr>
        <w:tc>
          <w:tcPr>
            <w:tcW w:w="684" w:type="dxa"/>
            <w:noWrap w:val="0"/>
            <w:vAlign w:val="center"/>
          </w:tcPr>
          <w:p w14:paraId="70176904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3</w:t>
            </w:r>
          </w:p>
        </w:tc>
        <w:tc>
          <w:tcPr>
            <w:tcW w:w="1175" w:type="dxa"/>
            <w:noWrap w:val="0"/>
            <w:vAlign w:val="center"/>
          </w:tcPr>
          <w:p w14:paraId="503D373C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异常处理</w:t>
            </w:r>
          </w:p>
        </w:tc>
        <w:tc>
          <w:tcPr>
            <w:tcW w:w="6035" w:type="dxa"/>
            <w:noWrap w:val="0"/>
            <w:vAlign w:val="center"/>
          </w:tcPr>
          <w:p w14:paraId="7F5E596B">
            <w:pPr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发生异常情况时（如停电、雨季，系统异常等）能及时查明原因，并采取应对措施，确保污水站设施、设备安全可靠，确保达标排放。</w:t>
            </w:r>
          </w:p>
        </w:tc>
        <w:tc>
          <w:tcPr>
            <w:tcW w:w="650" w:type="dxa"/>
            <w:noWrap w:val="0"/>
            <w:vAlign w:val="center"/>
          </w:tcPr>
          <w:p w14:paraId="317F59B3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10</w:t>
            </w:r>
          </w:p>
        </w:tc>
        <w:tc>
          <w:tcPr>
            <w:tcW w:w="1088" w:type="dxa"/>
            <w:vMerge w:val="continue"/>
            <w:noWrap w:val="0"/>
            <w:vAlign w:val="center"/>
          </w:tcPr>
          <w:p w14:paraId="5CF20926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</w:tr>
      <w:tr w14:paraId="470BA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684" w:type="dxa"/>
            <w:noWrap w:val="0"/>
            <w:vAlign w:val="center"/>
          </w:tcPr>
          <w:p w14:paraId="108BE7AA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4</w:t>
            </w:r>
          </w:p>
        </w:tc>
        <w:tc>
          <w:tcPr>
            <w:tcW w:w="1175" w:type="dxa"/>
            <w:noWrap w:val="0"/>
            <w:vAlign w:val="center"/>
          </w:tcPr>
          <w:p w14:paraId="549479F7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管理台账</w:t>
            </w:r>
          </w:p>
        </w:tc>
        <w:tc>
          <w:tcPr>
            <w:tcW w:w="6035" w:type="dxa"/>
            <w:noWrap w:val="0"/>
            <w:vAlign w:val="center"/>
          </w:tcPr>
          <w:p w14:paraId="3EBBEC5C">
            <w:pPr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认真做好运行记录和各项参数数据统计（设备运行记录、加药记录，主要参数控制记录、交接班记录等）各类报表按时填写，准确无误、字迹清晰并妥善保管。</w:t>
            </w:r>
          </w:p>
        </w:tc>
        <w:tc>
          <w:tcPr>
            <w:tcW w:w="650" w:type="dxa"/>
            <w:noWrap w:val="0"/>
            <w:vAlign w:val="center"/>
          </w:tcPr>
          <w:p w14:paraId="05CF1DF1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10</w:t>
            </w:r>
          </w:p>
        </w:tc>
        <w:tc>
          <w:tcPr>
            <w:tcW w:w="1088" w:type="dxa"/>
            <w:vMerge w:val="continue"/>
            <w:noWrap w:val="0"/>
            <w:vAlign w:val="center"/>
          </w:tcPr>
          <w:p w14:paraId="7F8D1F14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</w:tr>
      <w:tr w14:paraId="2B320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4" w:hRule="atLeast"/>
          <w:jc w:val="center"/>
        </w:trPr>
        <w:tc>
          <w:tcPr>
            <w:tcW w:w="684" w:type="dxa"/>
            <w:noWrap w:val="0"/>
            <w:vAlign w:val="center"/>
          </w:tcPr>
          <w:p w14:paraId="3CBFC249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5</w:t>
            </w:r>
          </w:p>
        </w:tc>
        <w:tc>
          <w:tcPr>
            <w:tcW w:w="1175" w:type="dxa"/>
            <w:noWrap w:val="0"/>
            <w:vAlign w:val="center"/>
          </w:tcPr>
          <w:p w14:paraId="25759B71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水质达标排放</w:t>
            </w:r>
          </w:p>
        </w:tc>
        <w:tc>
          <w:tcPr>
            <w:tcW w:w="6035" w:type="dxa"/>
            <w:noWrap w:val="0"/>
            <w:vAlign w:val="center"/>
          </w:tcPr>
          <w:p w14:paraId="4AF4C86E">
            <w:pPr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生产过程中设施设备处于最优状态，做到达标排放。（执行标准：《污水综合排放标准》（GB8978-1996）一级排放标准、《污水排入城镇下水道水质标准》（GB/T31962-2015）C级标准及《医疗机构水污染物排放标准》（GB18466-2005）中表2排放标准）</w:t>
            </w:r>
          </w:p>
          <w:p w14:paraId="34A6D813">
            <w:pPr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确保系统污水100%达标处理，不得对周边区域造成环境影响。</w:t>
            </w:r>
          </w:p>
        </w:tc>
        <w:tc>
          <w:tcPr>
            <w:tcW w:w="650" w:type="dxa"/>
            <w:noWrap w:val="0"/>
            <w:vAlign w:val="center"/>
          </w:tcPr>
          <w:p w14:paraId="3AF7AA1B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20</w:t>
            </w:r>
          </w:p>
        </w:tc>
        <w:tc>
          <w:tcPr>
            <w:tcW w:w="1088" w:type="dxa"/>
            <w:vMerge w:val="continue"/>
            <w:noWrap w:val="0"/>
            <w:vAlign w:val="center"/>
          </w:tcPr>
          <w:p w14:paraId="5949DC07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</w:tr>
      <w:tr w14:paraId="5CB16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684" w:type="dxa"/>
            <w:noWrap w:val="0"/>
            <w:vAlign w:val="center"/>
          </w:tcPr>
          <w:p w14:paraId="7A7A1F9F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6</w:t>
            </w:r>
          </w:p>
        </w:tc>
        <w:tc>
          <w:tcPr>
            <w:tcW w:w="1175" w:type="dxa"/>
            <w:noWrap w:val="0"/>
            <w:vAlign w:val="center"/>
          </w:tcPr>
          <w:p w14:paraId="30721E81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污泥处理</w:t>
            </w:r>
          </w:p>
        </w:tc>
        <w:tc>
          <w:tcPr>
            <w:tcW w:w="6035" w:type="dxa"/>
            <w:noWrap w:val="0"/>
            <w:vAlign w:val="center"/>
          </w:tcPr>
          <w:p w14:paraId="1C456325">
            <w:pPr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污水处理站污泥必须严格按照有关技术标准和规范进行分类收集、贮存和处理</w:t>
            </w:r>
          </w:p>
        </w:tc>
        <w:tc>
          <w:tcPr>
            <w:tcW w:w="650" w:type="dxa"/>
            <w:noWrap w:val="0"/>
            <w:vAlign w:val="center"/>
          </w:tcPr>
          <w:p w14:paraId="71E58AE6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10</w:t>
            </w:r>
          </w:p>
        </w:tc>
        <w:tc>
          <w:tcPr>
            <w:tcW w:w="1088" w:type="dxa"/>
            <w:vMerge w:val="continue"/>
            <w:noWrap w:val="0"/>
            <w:vAlign w:val="center"/>
          </w:tcPr>
          <w:p w14:paraId="5A74F3C0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</w:tr>
      <w:tr w14:paraId="40050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4" w:type="dxa"/>
            <w:noWrap w:val="0"/>
            <w:vAlign w:val="center"/>
          </w:tcPr>
          <w:p w14:paraId="415FBA87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7</w:t>
            </w:r>
          </w:p>
        </w:tc>
        <w:tc>
          <w:tcPr>
            <w:tcW w:w="1175" w:type="dxa"/>
            <w:noWrap w:val="0"/>
            <w:vAlign w:val="center"/>
          </w:tcPr>
          <w:p w14:paraId="70C9669D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水质化验</w:t>
            </w:r>
          </w:p>
        </w:tc>
        <w:tc>
          <w:tcPr>
            <w:tcW w:w="6035" w:type="dxa"/>
            <w:noWrap w:val="0"/>
            <w:vAlign w:val="center"/>
          </w:tcPr>
          <w:p w14:paraId="5D6FBF7A">
            <w:pPr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按照排污许可及学校相关部门的要求定期对水质进行化验，并按期提交检测报告（月）检测做好规范、完整、真实。</w:t>
            </w:r>
          </w:p>
        </w:tc>
        <w:tc>
          <w:tcPr>
            <w:tcW w:w="650" w:type="dxa"/>
            <w:noWrap w:val="0"/>
            <w:vAlign w:val="center"/>
          </w:tcPr>
          <w:p w14:paraId="7DC5DAD8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5</w:t>
            </w:r>
          </w:p>
        </w:tc>
        <w:tc>
          <w:tcPr>
            <w:tcW w:w="1088" w:type="dxa"/>
            <w:vMerge w:val="continue"/>
            <w:noWrap w:val="0"/>
            <w:vAlign w:val="center"/>
          </w:tcPr>
          <w:p w14:paraId="2C5701E0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</w:tr>
      <w:tr w14:paraId="1178A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684" w:type="dxa"/>
            <w:vMerge w:val="restart"/>
            <w:noWrap w:val="0"/>
            <w:vAlign w:val="center"/>
          </w:tcPr>
          <w:p w14:paraId="3CAE16B8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8</w:t>
            </w:r>
          </w:p>
        </w:tc>
        <w:tc>
          <w:tcPr>
            <w:tcW w:w="1175" w:type="dxa"/>
            <w:vMerge w:val="restart"/>
            <w:noWrap w:val="0"/>
            <w:vAlign w:val="center"/>
          </w:tcPr>
          <w:p w14:paraId="0B30BA68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设备维护、保养</w:t>
            </w:r>
          </w:p>
          <w:p w14:paraId="036B3107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6035" w:type="dxa"/>
            <w:noWrap w:val="0"/>
            <w:vAlign w:val="center"/>
          </w:tcPr>
          <w:p w14:paraId="0934FEC4">
            <w:pPr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设备整洁，结构完整无缺件，计量仪表灵敏可靠。机械设备润滑良好，无异响，设备运行稳定正常。</w:t>
            </w:r>
          </w:p>
        </w:tc>
        <w:tc>
          <w:tcPr>
            <w:tcW w:w="650" w:type="dxa"/>
            <w:noWrap w:val="0"/>
            <w:vAlign w:val="center"/>
          </w:tcPr>
          <w:p w14:paraId="52C4CFAD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2</w:t>
            </w:r>
          </w:p>
        </w:tc>
        <w:tc>
          <w:tcPr>
            <w:tcW w:w="1088" w:type="dxa"/>
            <w:vMerge w:val="continue"/>
            <w:noWrap w:val="0"/>
            <w:vAlign w:val="center"/>
          </w:tcPr>
          <w:p w14:paraId="4E0AD919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</w:tr>
      <w:tr w14:paraId="24398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684" w:type="dxa"/>
            <w:vMerge w:val="continue"/>
            <w:noWrap w:val="0"/>
            <w:vAlign w:val="center"/>
          </w:tcPr>
          <w:p w14:paraId="00BBE430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1175" w:type="dxa"/>
            <w:vMerge w:val="continue"/>
            <w:noWrap w:val="0"/>
            <w:vAlign w:val="center"/>
          </w:tcPr>
          <w:p w14:paraId="3F549DEE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6035" w:type="dxa"/>
            <w:noWrap w:val="0"/>
            <w:vAlign w:val="center"/>
          </w:tcPr>
          <w:p w14:paraId="1ABCC9AB">
            <w:pPr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建立完整的设备单机档案资料，应包括保养、维修、故障、更新、报废等记录。</w:t>
            </w:r>
          </w:p>
        </w:tc>
        <w:tc>
          <w:tcPr>
            <w:tcW w:w="650" w:type="dxa"/>
            <w:noWrap w:val="0"/>
            <w:vAlign w:val="center"/>
          </w:tcPr>
          <w:p w14:paraId="37EFF587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2</w:t>
            </w:r>
          </w:p>
        </w:tc>
        <w:tc>
          <w:tcPr>
            <w:tcW w:w="1088" w:type="dxa"/>
            <w:vMerge w:val="continue"/>
            <w:noWrap w:val="0"/>
            <w:vAlign w:val="center"/>
          </w:tcPr>
          <w:p w14:paraId="3CCD5ADA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</w:tr>
      <w:tr w14:paraId="6AB03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684" w:type="dxa"/>
            <w:vMerge w:val="continue"/>
            <w:noWrap w:val="0"/>
            <w:vAlign w:val="center"/>
          </w:tcPr>
          <w:p w14:paraId="491F42AD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1175" w:type="dxa"/>
            <w:vMerge w:val="continue"/>
            <w:noWrap w:val="0"/>
            <w:vAlign w:val="center"/>
          </w:tcPr>
          <w:p w14:paraId="48408442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6035" w:type="dxa"/>
            <w:noWrap w:val="0"/>
            <w:vAlign w:val="center"/>
          </w:tcPr>
          <w:p w14:paraId="47F7F30D">
            <w:pPr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根据设备使用情况，确保有相应的备品、备件及建立备件管理制度。制定合理的设备月度、年度检修计划。</w:t>
            </w:r>
          </w:p>
        </w:tc>
        <w:tc>
          <w:tcPr>
            <w:tcW w:w="650" w:type="dxa"/>
            <w:noWrap w:val="0"/>
            <w:vAlign w:val="center"/>
          </w:tcPr>
          <w:p w14:paraId="4EF93BC5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2</w:t>
            </w:r>
          </w:p>
        </w:tc>
        <w:tc>
          <w:tcPr>
            <w:tcW w:w="1088" w:type="dxa"/>
            <w:vMerge w:val="continue"/>
            <w:noWrap w:val="0"/>
            <w:vAlign w:val="center"/>
          </w:tcPr>
          <w:p w14:paraId="61192037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</w:tr>
      <w:tr w14:paraId="5E06C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4" w:type="dxa"/>
            <w:vMerge w:val="restart"/>
            <w:noWrap w:val="0"/>
            <w:vAlign w:val="center"/>
          </w:tcPr>
          <w:p w14:paraId="011C1DEC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9</w:t>
            </w:r>
          </w:p>
        </w:tc>
        <w:tc>
          <w:tcPr>
            <w:tcW w:w="1175" w:type="dxa"/>
            <w:vMerge w:val="restart"/>
            <w:noWrap w:val="0"/>
            <w:vAlign w:val="center"/>
          </w:tcPr>
          <w:p w14:paraId="66DB5CF6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安全培训</w:t>
            </w:r>
          </w:p>
        </w:tc>
        <w:tc>
          <w:tcPr>
            <w:tcW w:w="6035" w:type="dxa"/>
            <w:noWrap w:val="0"/>
            <w:vAlign w:val="center"/>
          </w:tcPr>
          <w:p w14:paraId="163B6EF1">
            <w:pPr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培训资料齐全（培训大纲、培训内容、学习记录、考核答卷）</w:t>
            </w:r>
          </w:p>
        </w:tc>
        <w:tc>
          <w:tcPr>
            <w:tcW w:w="650" w:type="dxa"/>
            <w:noWrap w:val="0"/>
            <w:vAlign w:val="center"/>
          </w:tcPr>
          <w:p w14:paraId="79D27743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2</w:t>
            </w:r>
          </w:p>
        </w:tc>
        <w:tc>
          <w:tcPr>
            <w:tcW w:w="1088" w:type="dxa"/>
            <w:vMerge w:val="continue"/>
            <w:noWrap w:val="0"/>
            <w:vAlign w:val="center"/>
          </w:tcPr>
          <w:p w14:paraId="6F546555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</w:tr>
      <w:tr w14:paraId="20E7F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684" w:type="dxa"/>
            <w:vMerge w:val="continue"/>
            <w:noWrap w:val="0"/>
            <w:vAlign w:val="center"/>
          </w:tcPr>
          <w:p w14:paraId="41B5E377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1175" w:type="dxa"/>
            <w:vMerge w:val="continue"/>
            <w:noWrap w:val="0"/>
            <w:vAlign w:val="center"/>
          </w:tcPr>
          <w:p w14:paraId="48ADB163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6035" w:type="dxa"/>
            <w:noWrap w:val="0"/>
            <w:vAlign w:val="center"/>
          </w:tcPr>
          <w:p w14:paraId="7A6B6D57">
            <w:pPr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岗位责任制学习，操作规程，作业规程学习</w:t>
            </w:r>
          </w:p>
        </w:tc>
        <w:tc>
          <w:tcPr>
            <w:tcW w:w="650" w:type="dxa"/>
            <w:noWrap w:val="0"/>
            <w:vAlign w:val="center"/>
          </w:tcPr>
          <w:p w14:paraId="2F1DE31F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2</w:t>
            </w:r>
          </w:p>
        </w:tc>
        <w:tc>
          <w:tcPr>
            <w:tcW w:w="1088" w:type="dxa"/>
            <w:vMerge w:val="continue"/>
            <w:noWrap w:val="0"/>
            <w:vAlign w:val="center"/>
          </w:tcPr>
          <w:p w14:paraId="0A1BAC30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</w:tr>
      <w:tr w14:paraId="59341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684" w:type="dxa"/>
            <w:vMerge w:val="continue"/>
            <w:noWrap w:val="0"/>
            <w:vAlign w:val="center"/>
          </w:tcPr>
          <w:p w14:paraId="26A7DF29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1175" w:type="dxa"/>
            <w:vMerge w:val="continue"/>
            <w:noWrap w:val="0"/>
            <w:vAlign w:val="center"/>
          </w:tcPr>
          <w:p w14:paraId="5BDBD3C5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6035" w:type="dxa"/>
            <w:noWrap w:val="0"/>
            <w:vAlign w:val="center"/>
          </w:tcPr>
          <w:p w14:paraId="7A5FD06F">
            <w:pPr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污水站按要求设置各类警示标志、标识。</w:t>
            </w:r>
          </w:p>
        </w:tc>
        <w:tc>
          <w:tcPr>
            <w:tcW w:w="650" w:type="dxa"/>
            <w:noWrap w:val="0"/>
            <w:vAlign w:val="center"/>
          </w:tcPr>
          <w:p w14:paraId="308C45F0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4</w:t>
            </w:r>
          </w:p>
        </w:tc>
        <w:tc>
          <w:tcPr>
            <w:tcW w:w="1088" w:type="dxa"/>
            <w:vMerge w:val="continue"/>
            <w:noWrap w:val="0"/>
            <w:vAlign w:val="center"/>
          </w:tcPr>
          <w:p w14:paraId="3A6542DA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</w:tr>
      <w:tr w14:paraId="73CB8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684" w:type="dxa"/>
            <w:vMerge w:val="continue"/>
            <w:noWrap w:val="0"/>
            <w:vAlign w:val="center"/>
          </w:tcPr>
          <w:p w14:paraId="753CA110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1175" w:type="dxa"/>
            <w:vMerge w:val="continue"/>
            <w:noWrap w:val="0"/>
            <w:vAlign w:val="center"/>
          </w:tcPr>
          <w:p w14:paraId="4D843C27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6035" w:type="dxa"/>
            <w:noWrap w:val="0"/>
            <w:vAlign w:val="center"/>
          </w:tcPr>
          <w:p w14:paraId="7C83BD10">
            <w:pPr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积极参与校方组织的各类安全培训，应急演练</w:t>
            </w:r>
          </w:p>
        </w:tc>
        <w:tc>
          <w:tcPr>
            <w:tcW w:w="650" w:type="dxa"/>
            <w:noWrap w:val="0"/>
            <w:vAlign w:val="center"/>
          </w:tcPr>
          <w:p w14:paraId="1AEB96AC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2</w:t>
            </w:r>
          </w:p>
        </w:tc>
        <w:tc>
          <w:tcPr>
            <w:tcW w:w="1088" w:type="dxa"/>
            <w:vMerge w:val="continue"/>
            <w:noWrap w:val="0"/>
            <w:vAlign w:val="center"/>
          </w:tcPr>
          <w:p w14:paraId="35359C36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</w:tr>
      <w:tr w14:paraId="68CA3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4" w:type="dxa"/>
            <w:vMerge w:val="restart"/>
            <w:noWrap w:val="0"/>
            <w:vAlign w:val="center"/>
          </w:tcPr>
          <w:p w14:paraId="05EE5730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10</w:t>
            </w:r>
          </w:p>
        </w:tc>
        <w:tc>
          <w:tcPr>
            <w:tcW w:w="1175" w:type="dxa"/>
            <w:vMerge w:val="restart"/>
            <w:noWrap w:val="0"/>
            <w:vAlign w:val="center"/>
          </w:tcPr>
          <w:p w14:paraId="16795DEE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现场管理</w:t>
            </w:r>
          </w:p>
        </w:tc>
        <w:tc>
          <w:tcPr>
            <w:tcW w:w="6035" w:type="dxa"/>
            <w:noWrap w:val="0"/>
            <w:vAlign w:val="center"/>
          </w:tcPr>
          <w:p w14:paraId="75010536">
            <w:pPr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化验区域、操作区域、设备机房等为重点位置严禁吸烟、无垃圾堆放，照明设施完整。</w:t>
            </w:r>
          </w:p>
        </w:tc>
        <w:tc>
          <w:tcPr>
            <w:tcW w:w="650" w:type="dxa"/>
            <w:noWrap w:val="0"/>
            <w:vAlign w:val="center"/>
          </w:tcPr>
          <w:p w14:paraId="17C399C1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2</w:t>
            </w:r>
          </w:p>
        </w:tc>
        <w:tc>
          <w:tcPr>
            <w:tcW w:w="1088" w:type="dxa"/>
            <w:vMerge w:val="continue"/>
            <w:noWrap w:val="0"/>
            <w:vAlign w:val="center"/>
          </w:tcPr>
          <w:p w14:paraId="65281A81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</w:tr>
      <w:tr w14:paraId="79690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684" w:type="dxa"/>
            <w:vMerge w:val="continue"/>
            <w:noWrap w:val="0"/>
            <w:vAlign w:val="center"/>
          </w:tcPr>
          <w:p w14:paraId="1EFD6A91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1175" w:type="dxa"/>
            <w:vMerge w:val="continue"/>
            <w:noWrap w:val="0"/>
            <w:vAlign w:val="top"/>
          </w:tcPr>
          <w:p w14:paraId="280832EB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6035" w:type="dxa"/>
            <w:noWrap w:val="0"/>
            <w:vAlign w:val="center"/>
          </w:tcPr>
          <w:p w14:paraId="614A19AF">
            <w:pPr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门、窗、玻璃明亮无破损，墙壁无乱涂画，整洁，用品、工具排放整齐有序、设施、设备保持清洁，及时处理跑冒滴漏堵等问题</w:t>
            </w:r>
          </w:p>
        </w:tc>
        <w:tc>
          <w:tcPr>
            <w:tcW w:w="650" w:type="dxa"/>
            <w:noWrap w:val="0"/>
            <w:vAlign w:val="center"/>
          </w:tcPr>
          <w:p w14:paraId="174B3904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2</w:t>
            </w:r>
          </w:p>
        </w:tc>
        <w:tc>
          <w:tcPr>
            <w:tcW w:w="1088" w:type="dxa"/>
            <w:vMerge w:val="continue"/>
            <w:noWrap w:val="0"/>
            <w:vAlign w:val="center"/>
          </w:tcPr>
          <w:p w14:paraId="59CBF91C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</w:tr>
      <w:tr w14:paraId="4B7B7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684" w:type="dxa"/>
            <w:vMerge w:val="continue"/>
            <w:noWrap w:val="0"/>
            <w:vAlign w:val="center"/>
          </w:tcPr>
          <w:p w14:paraId="1991E4A9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1175" w:type="dxa"/>
            <w:vMerge w:val="continue"/>
            <w:noWrap w:val="0"/>
            <w:vAlign w:val="top"/>
          </w:tcPr>
          <w:p w14:paraId="2502609F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6035" w:type="dxa"/>
            <w:noWrap w:val="0"/>
            <w:vAlign w:val="center"/>
          </w:tcPr>
          <w:p w14:paraId="15494605">
            <w:pPr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协助校方做好对外迎接检查工作，及时提供各类数据。</w:t>
            </w:r>
          </w:p>
        </w:tc>
        <w:tc>
          <w:tcPr>
            <w:tcW w:w="650" w:type="dxa"/>
            <w:noWrap w:val="0"/>
            <w:vAlign w:val="center"/>
          </w:tcPr>
          <w:p w14:paraId="6F69162F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5</w:t>
            </w:r>
          </w:p>
        </w:tc>
        <w:tc>
          <w:tcPr>
            <w:tcW w:w="1088" w:type="dxa"/>
            <w:vMerge w:val="continue"/>
            <w:noWrap w:val="0"/>
            <w:vAlign w:val="center"/>
          </w:tcPr>
          <w:p w14:paraId="34D6FE46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</w:tr>
    </w:tbl>
    <w:p w14:paraId="01398D3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D462AD"/>
    <w:multiLevelType w:val="multilevel"/>
    <w:tmpl w:val="55D462AD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5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6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7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8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9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FA5729"/>
    <w:rsid w:val="47A00955"/>
    <w:rsid w:val="60CF045C"/>
    <w:rsid w:val="67C14DF2"/>
    <w:rsid w:val="7CDE0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ind w:left="425" w:hanging="425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2"/>
    <w:semiHidden/>
    <w:unhideWhenUsed/>
    <w:qFormat/>
    <w:uiPriority w:val="0"/>
    <w:pPr>
      <w:keepNext/>
      <w:keepLines/>
      <w:spacing w:before="260" w:after="260" w:line="360" w:lineRule="auto"/>
      <w:outlineLvl w:val="1"/>
    </w:pPr>
    <w:rPr>
      <w:rFonts w:ascii="宋体" w:hAnsi="宋体" w:eastAsia="宋体"/>
      <w:b/>
      <w:bCs/>
      <w:sz w:val="24"/>
      <w:szCs w:val="18"/>
    </w:rPr>
  </w:style>
  <w:style w:type="paragraph" w:styleId="4">
    <w:name w:val="heading 3"/>
    <w:basedOn w:val="1"/>
    <w:next w:val="1"/>
    <w:link w:val="13"/>
    <w:semiHidden/>
    <w:unhideWhenUsed/>
    <w:qFormat/>
    <w:uiPriority w:val="0"/>
    <w:pPr>
      <w:keepNext/>
      <w:keepLines/>
      <w:spacing w:before="260" w:after="260" w:line="360" w:lineRule="auto"/>
      <w:ind w:left="0" w:firstLine="0"/>
      <w:outlineLvl w:val="2"/>
    </w:pPr>
    <w:rPr>
      <w:rFonts w:ascii="Times New Roman" w:hAnsi="Times New Roman" w:eastAsia="宋体"/>
      <w:b/>
      <w:bCs/>
      <w:sz w:val="24"/>
      <w:szCs w:val="32"/>
    </w:rPr>
  </w:style>
  <w:style w:type="paragraph" w:styleId="5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992" w:hanging="992"/>
      <w:outlineLvl w:val="4"/>
    </w:pPr>
    <w:rPr>
      <w:b/>
      <w:sz w:val="28"/>
    </w:rPr>
  </w:style>
  <w:style w:type="paragraph" w:styleId="6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34" w:hanging="1134"/>
      <w:outlineLvl w:val="5"/>
    </w:pPr>
    <w:rPr>
      <w:rFonts w:ascii="Arial" w:hAnsi="Arial" w:eastAsia="黑体"/>
      <w:b/>
      <w:sz w:val="24"/>
    </w:rPr>
  </w:style>
  <w:style w:type="paragraph" w:styleId="7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76" w:hanging="1276"/>
      <w:outlineLvl w:val="6"/>
    </w:pPr>
    <w:rPr>
      <w:b/>
      <w:sz w:val="24"/>
    </w:rPr>
  </w:style>
  <w:style w:type="paragraph" w:styleId="8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18" w:hanging="1418"/>
      <w:outlineLvl w:val="7"/>
    </w:pPr>
    <w:rPr>
      <w:rFonts w:ascii="Arial" w:hAnsi="Arial" w:eastAsia="黑体"/>
      <w:sz w:val="24"/>
    </w:rPr>
  </w:style>
  <w:style w:type="paragraph" w:styleId="9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59" w:hanging="1559"/>
      <w:outlineLvl w:val="8"/>
    </w:pPr>
    <w:rPr>
      <w:rFonts w:ascii="Arial" w:hAnsi="Arial" w:eastAsia="黑体"/>
      <w:sz w:val="21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标题 2 Char"/>
    <w:link w:val="3"/>
    <w:uiPriority w:val="0"/>
    <w:rPr>
      <w:rFonts w:ascii="宋体" w:hAnsi="宋体" w:eastAsia="宋体"/>
      <w:b/>
      <w:bCs/>
      <w:kern w:val="2"/>
      <w:sz w:val="24"/>
      <w:szCs w:val="18"/>
    </w:rPr>
  </w:style>
  <w:style w:type="character" w:customStyle="1" w:styleId="13">
    <w:name w:val="标题 3 Char"/>
    <w:link w:val="4"/>
    <w:uiPriority w:val="0"/>
    <w:rPr>
      <w:rFonts w:ascii="Times New Roman" w:hAnsi="Times New Roman" w:eastAsia="宋体"/>
      <w:b/>
      <w:bCs/>
      <w:kern w:val="2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2022-09-07T05:52:00Z</dcterms:created>
  <dc:creator>Administrator</dc:creator>
  <cp:lastModifiedBy>起点</cp:lastModifiedBy>
  <dcterms:modified xsi:type="dcterms:W3CDTF">2026-06-22T08:33:18Z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466DA3339AB84D6DADD071CF891D7CBE</vt:lpwstr>
  </property>
  <property fmtid="{D5CDD505-2E9C-101B-9397-08002B2CF9AE}" pid="4" name="KSOTemplateDocerSaveRecord">
    <vt:lpwstr>eyJoZGlkIjoiNzQ2Y2ZmOTBkMTUyODBhYTJmYzM2MWM5NGIxYjkxMDYiLCJ1c2VySWQiOiI2Mjk5OTE3MzAifQ==</vt:lpwstr>
  </property>
</Properties>
</file>