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版本号：ZJXG202605720260729001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消防改造校舍维修改善</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ZJXG2026057</w:t>
      </w:r>
      <w:r>
        <w:br/>
      </w:r>
      <w:r>
        <w:br/>
      </w:r>
      <w:r>
        <w:br/>
      </w:r>
    </w:p>
    <w:p>
      <w:pPr>
        <w:pStyle w:val="null3"/>
        <w:jc w:val="center"/>
        <w:outlineLvl w:val="2"/>
      </w:pPr>
      <w:r>
        <w:rPr>
          <w:rFonts w:ascii="仿宋_GB2312" w:hAnsi="仿宋_GB2312" w:cs="仿宋_GB2312" w:eastAsia="仿宋_GB2312"/>
          <w:sz w:val="28"/>
          <w:b/>
        </w:rPr>
        <w:t>西安市未央区大明宫小学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西安市未央区大明宫小学</w:t>
      </w:r>
      <w:r>
        <w:rPr>
          <w:rFonts w:ascii="仿宋_GB2312" w:hAnsi="仿宋_GB2312" w:cs="仿宋_GB2312" w:eastAsia="仿宋_GB2312"/>
        </w:rPr>
        <w:t>委托，拟对</w:t>
      </w:r>
      <w:r>
        <w:rPr>
          <w:rFonts w:ascii="仿宋_GB2312" w:hAnsi="仿宋_GB2312" w:cs="仿宋_GB2312" w:eastAsia="仿宋_GB2312"/>
        </w:rPr>
        <w:t>消防改造校舍维修改善</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消防改造校舍维修改善</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西安市未央区大明宫小学消防改造校舍维修改善，详见竞争性磋商文件。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采购包1（消防改造校舍维修改善）：属于专门面向中小企业采购。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9、企业人员资质：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13、是否接受联合体投标：本项目不接受联合体投标（提供承诺函），供应商需在项目电子化交易系统中按要求上传相应证明文件并进行电子签章。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西安市未央区大明宫小学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凤城一路东段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18202970089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采购包1：407,760.04元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不足5000元按5000元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西安市未央区大明宫小学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西安市未央区大明宫小学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西安市未央区大明宫小学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407,760.04</w:t>
      </w:r>
    </w:p>
    <w:p>
      <w:pPr>
        <w:pStyle w:val="null3"/>
      </w:pPr>
      <w:r>
        <w:rPr>
          <w:rFonts w:ascii="仿宋_GB2312" w:hAnsi="仿宋_GB2312" w:cs="仿宋_GB2312" w:eastAsia="仿宋_GB2312"/>
        </w:rPr>
        <w:t>采购包最高限价（元）: 407,760.04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消防改造校舍维修改善</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407,760.04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标的名称：消防改造校舍维修改善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一、工程量清单编制说明</w:t>
            </w:r>
          </w:p>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1.工程名称：消防改造校舍维修改善</w:t>
            </w:r>
          </w:p>
          <w:p>
            <w:pPr>
              <w:pStyle w:val="null3"/>
              <w:ind w:firstLine="400"/>
              <w:jc w:val="both"/>
            </w:pPr>
            <w:r>
              <w:rPr>
                <w:rFonts w:ascii="仿宋_GB2312" w:hAnsi="仿宋_GB2312" w:cs="仿宋_GB2312" w:eastAsia="仿宋_GB2312"/>
                <w:sz w:val="20"/>
              </w:rPr>
              <w:t>2.工程地点：西安市未央区大明宫小学</w:t>
            </w:r>
          </w:p>
          <w:p>
            <w:pPr>
              <w:pStyle w:val="null3"/>
              <w:ind w:firstLine="400"/>
              <w:jc w:val="both"/>
            </w:pPr>
            <w:r>
              <w:rPr>
                <w:rFonts w:ascii="仿宋_GB2312" w:hAnsi="仿宋_GB2312" w:cs="仿宋_GB2312" w:eastAsia="仿宋_GB2312"/>
                <w:sz w:val="20"/>
              </w:rPr>
              <w:t>3.工程内容包括：对大明宫小学教学楼门窗拆除更换钢制防盗门窗、墙面拆除重新装修，四层录播室外疏散走道墙面、地面拆除换新，南侧大教室增设疏散出口（二~四层）等施工内容，详见设计图纸及工程量清单。</w:t>
            </w:r>
          </w:p>
          <w:p>
            <w:pPr>
              <w:pStyle w:val="null3"/>
              <w:jc w:val="both"/>
            </w:pPr>
            <w:r>
              <w:rPr>
                <w:rFonts w:ascii="仿宋_GB2312" w:hAnsi="仿宋_GB2312" w:cs="仿宋_GB2312" w:eastAsia="仿宋_GB2312"/>
                <w:sz w:val="20"/>
                <w:b/>
              </w:rPr>
              <w:t>（二）编制依据</w:t>
            </w:r>
          </w:p>
          <w:p>
            <w:pPr>
              <w:pStyle w:val="null3"/>
              <w:ind w:firstLine="400"/>
              <w:jc w:val="both"/>
            </w:pPr>
            <w:r>
              <w:rPr>
                <w:rFonts w:ascii="仿宋_GB2312" w:hAnsi="仿宋_GB2312" w:cs="仿宋_GB2312" w:eastAsia="仿宋_GB2312"/>
                <w:sz w:val="20"/>
              </w:rPr>
              <w:t>1.依据《关于印发2025陕西省建设工程费用规则等计价依据的通知》（陕建管发〔2025〕10号）、《建设工程工程量清单计价标准》（2025）；</w:t>
            </w:r>
          </w:p>
          <w:p>
            <w:pPr>
              <w:pStyle w:val="null3"/>
              <w:ind w:firstLine="400"/>
              <w:jc w:val="both"/>
            </w:pPr>
            <w:r>
              <w:rPr>
                <w:rFonts w:ascii="仿宋_GB2312" w:hAnsi="仿宋_GB2312" w:cs="仿宋_GB2312" w:eastAsia="仿宋_GB2312"/>
                <w:sz w:val="20"/>
              </w:rPr>
              <w:t>2.《房屋建筑与装饰工程工程量计算标准》（2025）、《通用安装工程工程量计算标准》（2025）、《</w:t>
            </w:r>
            <w:r>
              <w:rPr>
                <w:rFonts w:ascii="仿宋_GB2312" w:hAnsi="仿宋_GB2312" w:cs="仿宋_GB2312" w:eastAsia="仿宋_GB2312"/>
                <w:sz w:val="20"/>
              </w:rPr>
              <w:t>市政工程工程量计算标准</w:t>
            </w:r>
            <w:r>
              <w:rPr>
                <w:rFonts w:ascii="仿宋_GB2312" w:hAnsi="仿宋_GB2312" w:cs="仿宋_GB2312" w:eastAsia="仿宋_GB2312"/>
                <w:sz w:val="20"/>
              </w:rPr>
              <w:t>》（</w:t>
            </w:r>
            <w:r>
              <w:rPr>
                <w:rFonts w:ascii="仿宋_GB2312" w:hAnsi="仿宋_GB2312" w:cs="仿宋_GB2312" w:eastAsia="仿宋_GB2312"/>
                <w:sz w:val="20"/>
              </w:rPr>
              <w:t>2025）、《</w:t>
            </w:r>
            <w:r>
              <w:rPr>
                <w:rFonts w:ascii="仿宋_GB2312" w:hAnsi="仿宋_GB2312" w:cs="仿宋_GB2312" w:eastAsia="仿宋_GB2312"/>
                <w:sz w:val="20"/>
              </w:rPr>
              <w:t>园林绿化工程工程量计算标准</w:t>
            </w:r>
            <w:r>
              <w:rPr>
                <w:rFonts w:ascii="仿宋_GB2312" w:hAnsi="仿宋_GB2312" w:cs="仿宋_GB2312" w:eastAsia="仿宋_GB2312"/>
                <w:sz w:val="20"/>
              </w:rPr>
              <w:t>》（</w:t>
            </w:r>
            <w:r>
              <w:rPr>
                <w:rFonts w:ascii="仿宋_GB2312" w:hAnsi="仿宋_GB2312" w:cs="仿宋_GB2312" w:eastAsia="仿宋_GB2312"/>
                <w:sz w:val="20"/>
              </w:rPr>
              <w:t>2025）；</w:t>
            </w:r>
          </w:p>
          <w:p>
            <w:pPr>
              <w:pStyle w:val="null3"/>
              <w:ind w:firstLine="400"/>
              <w:jc w:val="both"/>
            </w:pPr>
            <w:r>
              <w:rPr>
                <w:rFonts w:ascii="仿宋_GB2312" w:hAnsi="仿宋_GB2312" w:cs="仿宋_GB2312" w:eastAsia="仿宋_GB2312"/>
                <w:sz w:val="20"/>
              </w:rPr>
              <w:t>3.《陕西省建设工程费用规则》（2025）；</w:t>
            </w:r>
          </w:p>
          <w:p>
            <w:pPr>
              <w:pStyle w:val="null3"/>
              <w:ind w:firstLine="400"/>
              <w:jc w:val="both"/>
            </w:pPr>
            <w:r>
              <w:rPr>
                <w:rFonts w:ascii="仿宋_GB2312" w:hAnsi="仿宋_GB2312" w:cs="仿宋_GB2312" w:eastAsia="仿宋_GB2312"/>
                <w:sz w:val="20"/>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ind w:firstLine="400"/>
              <w:jc w:val="both"/>
            </w:pPr>
            <w:r>
              <w:rPr>
                <w:rFonts w:ascii="仿宋_GB2312" w:hAnsi="仿宋_GB2312" w:cs="仿宋_GB2312" w:eastAsia="仿宋_GB2312"/>
                <w:sz w:val="20"/>
              </w:rPr>
              <w:t>5.与招标工程相关的技术标准规范；</w:t>
            </w:r>
          </w:p>
          <w:p>
            <w:pPr>
              <w:pStyle w:val="null3"/>
              <w:ind w:firstLine="400"/>
              <w:jc w:val="both"/>
            </w:pPr>
            <w:r>
              <w:rPr>
                <w:rFonts w:ascii="仿宋_GB2312" w:hAnsi="仿宋_GB2312" w:cs="仿宋_GB2312" w:eastAsia="仿宋_GB2312"/>
                <w:sz w:val="20"/>
              </w:rPr>
              <w:t>6.《消防改造校舍维修改善》的设计图纸；</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计价软件采用广联达云计价平台</w:t>
            </w:r>
            <w:r>
              <w:rPr>
                <w:rFonts w:ascii="仿宋_GB2312" w:hAnsi="仿宋_GB2312" w:cs="仿宋_GB2312" w:eastAsia="仿宋_GB2312"/>
                <w:sz w:val="20"/>
              </w:rPr>
              <w:t>GCCP</w:t>
            </w:r>
            <w:r>
              <w:rPr>
                <w:rFonts w:ascii="仿宋_GB2312" w:hAnsi="仿宋_GB2312" w:cs="仿宋_GB2312" w:eastAsia="仿宋_GB2312"/>
                <w:sz w:val="20"/>
              </w:rPr>
              <w:t xml:space="preserve"> </w:t>
            </w:r>
            <w:r>
              <w:rPr>
                <w:rFonts w:ascii="仿宋_GB2312" w:hAnsi="仿宋_GB2312" w:cs="仿宋_GB2312" w:eastAsia="仿宋_GB2312"/>
                <w:sz w:val="20"/>
              </w:rPr>
              <w:t>7.0</w:t>
            </w:r>
            <w:r>
              <w:rPr>
                <w:rFonts w:ascii="仿宋_GB2312" w:hAnsi="仿宋_GB2312" w:cs="仿宋_GB2312" w:eastAsia="仿宋_GB2312"/>
                <w:sz w:val="20"/>
              </w:rPr>
              <w:t xml:space="preserve"> </w:t>
            </w:r>
            <w:r>
              <w:rPr>
                <w:rFonts w:ascii="仿宋_GB2312" w:hAnsi="仿宋_GB2312" w:cs="仿宋_GB2312" w:eastAsia="仿宋_GB2312"/>
                <w:sz w:val="20"/>
              </w:rPr>
              <w:t>版本：</w:t>
            </w:r>
            <w:r>
              <w:rPr>
                <w:rFonts w:ascii="仿宋_GB2312" w:hAnsi="仿宋_GB2312" w:cs="仿宋_GB2312" w:eastAsia="仿宋_GB2312"/>
                <w:sz w:val="20"/>
              </w:rPr>
              <w:t>7.5000.23.3。</w:t>
            </w:r>
          </w:p>
          <w:p>
            <w:pPr>
              <w:pStyle w:val="null3"/>
              <w:jc w:val="left"/>
            </w:pPr>
            <w:r>
              <w:rPr>
                <w:rFonts w:ascii="仿宋_GB2312" w:hAnsi="仿宋_GB2312" w:cs="仿宋_GB2312" w:eastAsia="仿宋_GB2312"/>
                <w:sz w:val="20"/>
                <w:b/>
              </w:rPr>
              <w:t>（三）其他说明</w:t>
            </w:r>
          </w:p>
          <w:p>
            <w:pPr>
              <w:pStyle w:val="null3"/>
              <w:ind w:firstLine="400"/>
              <w:jc w:val="both"/>
            </w:pPr>
            <w:r>
              <w:rPr>
                <w:rFonts w:ascii="仿宋_GB2312" w:hAnsi="仿宋_GB2312" w:cs="仿宋_GB2312" w:eastAsia="仿宋_GB2312"/>
                <w:sz w:val="20"/>
              </w:rPr>
              <w:t>1.本工程量清单所提供工程项目特征仅表达了主要工程做法，组价时应依据设计图纸、相关图集，结合招标文件，合同条款，技术规范、答疑纪要等</w:t>
            </w:r>
            <w:r>
              <w:rPr>
                <w:rFonts w:ascii="仿宋_GB2312" w:hAnsi="仿宋_GB2312" w:cs="仿宋_GB2312" w:eastAsia="仿宋_GB2312"/>
                <w:sz w:val="20"/>
              </w:rPr>
              <w:t>进行组价。</w:t>
            </w:r>
          </w:p>
          <w:p>
            <w:pPr>
              <w:pStyle w:val="null3"/>
              <w:jc w:val="left"/>
            </w:pPr>
            <w:r>
              <w:rPr>
                <w:rFonts w:ascii="仿宋_GB2312" w:hAnsi="仿宋_GB2312" w:cs="仿宋_GB2312" w:eastAsia="仿宋_GB2312"/>
                <w:sz w:val="20"/>
                <w:b/>
              </w:rPr>
              <w:t>二、商务要求</w:t>
            </w:r>
          </w:p>
          <w:p>
            <w:pPr>
              <w:pStyle w:val="null3"/>
              <w:ind w:firstLine="400"/>
              <w:jc w:val="both"/>
            </w:pPr>
            <w:r>
              <w:rPr>
                <w:rFonts w:ascii="仿宋_GB2312" w:hAnsi="仿宋_GB2312" w:cs="仿宋_GB2312" w:eastAsia="仿宋_GB2312"/>
                <w:sz w:val="20"/>
              </w:rPr>
              <w:t>1、工期：60天（具体开工日期以收到采购人通知为准）；</w:t>
            </w:r>
          </w:p>
          <w:p>
            <w:pPr>
              <w:pStyle w:val="null3"/>
              <w:ind w:firstLine="400"/>
              <w:jc w:val="both"/>
            </w:pPr>
            <w:r>
              <w:rPr>
                <w:rFonts w:ascii="仿宋_GB2312" w:hAnsi="仿宋_GB2312" w:cs="仿宋_GB2312" w:eastAsia="仿宋_GB2312"/>
                <w:sz w:val="20"/>
              </w:rPr>
              <w:t>2、付款条件说明：</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1）进度款，合同签订后，达到付款条件起30个工作日内，支付合同总金额的40.0%；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2）进度款，工程全部竣工验收通过后，达到付款条件起30个工作日内，支付合同总金额的50.0%；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3）进度款，工程审计结束后，达到付款条件起30个工作日内，支付合同总金额的10.0%。</w:t>
            </w:r>
          </w:p>
          <w:p>
            <w:pPr>
              <w:pStyle w:val="null3"/>
              <w:ind w:firstLine="400"/>
              <w:jc w:val="both"/>
            </w:pPr>
            <w:r>
              <w:rPr>
                <w:rFonts w:ascii="仿宋_GB2312" w:hAnsi="仿宋_GB2312" w:cs="仿宋_GB2312" w:eastAsia="仿宋_GB2312"/>
                <w:sz w:val="20"/>
              </w:rPr>
              <w:t>3、质量要求：达到国家及行业现行技术规范标准，符合国家及行业验收合格标准。</w:t>
            </w:r>
          </w:p>
          <w:p>
            <w:pPr>
              <w:pStyle w:val="null3"/>
              <w:ind w:firstLine="400"/>
              <w:jc w:val="both"/>
            </w:pPr>
            <w:r>
              <w:rPr>
                <w:rFonts w:ascii="仿宋_GB2312" w:hAnsi="仿宋_GB2312" w:cs="仿宋_GB2312" w:eastAsia="仿宋_GB2312"/>
                <w:sz w:val="20"/>
              </w:rPr>
              <w:t>4、质量保修期：质量保修期其他工程为二年，防水工程为五年。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供应商具有建设行政主管部门颁发的有效期内的建筑装修装饰工程专业承包二级及以上资质，且具备有效的安全生产许可证。供应商需在项目电子化交易系统中按要求上传相应证明文件并进行电子签章；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企业人员资质</w:t>
            </w:r>
          </w:p>
        </w:tc>
        <w:tc>
          <w:tcPr>
            <w:tcW w:type="dxa" w:w="3322"/>
          </w:tcPr>
          <w:p>
            <w:pPr>
              <w:pStyle w:val="null3"/>
            </w:pPr>
            <w:r>
              <w:rPr>
                <w:rFonts w:ascii="仿宋_GB2312" w:hAnsi="仿宋_GB2312" w:cs="仿宋_GB2312" w:eastAsia="仿宋_GB2312"/>
              </w:rPr>
              <w:t>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施工总体方案.docx 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的投标产品中每有一项为节能产品（非强制类）经国家认证的得0.5分，每有一项为环境标志产品经国家认证的得0.5分，供应商投标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评审内容：①项目目标理解；②项目整体施工方案；③施工保障措施；④专项技术方案（含主要施工方法、组织措施、检验手段等）。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评审内容：①分析本项目进度目标及关键节点；②针对关键节点、具体环节提出相应进度保障措施；③根据本项目的工期要求，提供全面的确保工程按期按质完成的进度计划安排。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评审内容：①针对本项目制定切实可行的总体质量控制目标；②对质量控制目标进行合理分解、规划，确保本项目质量标准符合相关标准；③ 提供针对本项目的工程质量保证措施。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评审内容：①项目实施的重点、难点进行分析；②针对重点、难点编制应急预案。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评审内容：①针对工程环境、特点分析安全隐患；②给出有针对性的安全生产、文明施工、环保施工、防尘降噪等保证措施。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①项目管理机构人员岗位设置情况；②各岗位专业技术能力情况。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劳动力和材料投入计划</w:t>
            </w:r>
          </w:p>
        </w:tc>
        <w:tc>
          <w:tcPr>
            <w:tcW w:type="dxa" w:w="2492"/>
          </w:tcPr>
          <w:p>
            <w:pPr>
              <w:pStyle w:val="null3"/>
            </w:pPr>
            <w:r>
              <w:rPr>
                <w:rFonts w:ascii="仿宋_GB2312" w:hAnsi="仿宋_GB2312" w:cs="仿宋_GB2312" w:eastAsia="仿宋_GB2312"/>
              </w:rPr>
              <w:t>评审内容：①供应商针对本项目提供详细的劳动力和材料投入计划；②供应商针对本项目提供详细的劳动力和材料保证措施。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评审内容：①设备投入计划；②设备的使用情况。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现场施工扬尘环境治理管理措施</w:t>
            </w:r>
          </w:p>
        </w:tc>
        <w:tc>
          <w:tcPr>
            <w:tcW w:type="dxa" w:w="2492"/>
          </w:tcPr>
          <w:p>
            <w:pPr>
              <w:pStyle w:val="null3"/>
            </w:pPr>
            <w:r>
              <w:rPr>
                <w:rFonts w:ascii="仿宋_GB2312" w:hAnsi="仿宋_GB2312" w:cs="仿宋_GB2312" w:eastAsia="仿宋_GB2312"/>
              </w:rPr>
              <w:t>评审内容：①分析现场施工扬尘的产生情况；②现场施工扬尘环境治理管理措施。评审依据：每一项内容描述详细，切实可行符合项目实际内容得1分，①～②项合计得2分。内容①～②项任意一项缺项扣1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供应商自2023年以来承担过类似项目业绩。（以合同签订日期或中标通知书签署日期为准)；提供一项业绩得1分，最高得3分。须提供合同或中标通知书复印件并加盖公章，不提供不得分。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评审内容：①针对本项目的保修服务承诺；②针对本项目的优化建议。评审依据：每一项内容描述详细，切实可行符合项目实际内容得1分，①～②项合计得2分。内容①～②项任意一项缺项扣1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2.满足竞争性磋商文件实质性要求且最后报价最低的供应商的价格为磋商基准价，其价格分为满分45分。 3.磋商报价得分=（磋商基准价/磋商评审价）×45%*100的公式计算得分。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详见附件：施工总体方案.docx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