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版本号：TZZB-HZ-2026161C-120260812001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2025年中央粮油生产保障资金（绿色高产高效行动）项目（复合肥）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TZZB-HZ-2026161C-1</w:t>
      </w:r>
      <w:r>
        <w:br/>
      </w:r>
      <w:r>
        <w:br/>
      </w:r>
      <w:r>
        <w:br/>
      </w:r>
    </w:p>
    <w:p>
      <w:pPr>
        <w:pStyle w:val="null3"/>
        <w:jc w:val="center"/>
        <w:outlineLvl w:val="2"/>
      </w:pPr>
      <w:r>
        <w:rPr>
          <w:rFonts w:ascii="仿宋_GB2312" w:hAnsi="仿宋_GB2312" w:cs="仿宋_GB2312" w:eastAsia="仿宋_GB2312"/>
          <w:sz w:val="28"/>
          <w:b/>
        </w:rPr>
        <w:t>镇巴县农业技术推广服务中心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镇巴县农业技术推广服务中心</w:t>
      </w:r>
      <w:r>
        <w:rPr>
          <w:rFonts w:ascii="仿宋_GB2312" w:hAnsi="仿宋_GB2312" w:cs="仿宋_GB2312" w:eastAsia="仿宋_GB2312"/>
        </w:rPr>
        <w:t>委托，拟对</w:t>
      </w:r>
      <w:r>
        <w:rPr>
          <w:rFonts w:ascii="仿宋_GB2312" w:hAnsi="仿宋_GB2312" w:cs="仿宋_GB2312" w:eastAsia="仿宋_GB2312"/>
        </w:rPr>
        <w:t>2025年中央粮油生产保障资金（绿色高产高效行动）项目（复合肥）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TZZB-HZ-2026161C-1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2025年中央粮油生产保障资金（绿色高产高效行动）项目（复合肥）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2025年中央粮油生产保障资金（绿色高产高效行动）项目（复合肥）采购一批复合肥料。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采购包1（2025年中央粮油生产保障资金（绿色高产高效行动）项目（复合肥））：属于专门面向中小企业采购。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3、汉中市政府采购供应商资格承诺函：投标人需提供《汉中市政府采购供应商资格承诺函》。(材料应清晰可辨并进行电子签章）</w:t>
      </w:r>
    </w:p>
    <w:p>
      <w:pPr>
        <w:pStyle w:val="null3"/>
      </w:pPr>
      <w:r>
        <w:rPr>
          <w:rFonts w:ascii="仿宋_GB2312" w:hAnsi="仿宋_GB2312" w:cs="仿宋_GB2312" w:eastAsia="仿宋_GB2312"/>
        </w:rPr>
        <w:t>4、投标人的资格要求：①投标人为制造商的须提供有效的《全国工业产品生产许可证》（许可范围包含复合肥料）及肥料登记证（或农业农村部登记备案证明）复印件，根据《肥料登记管理办法》规定属于免予登记的肥料产品，可不提供登记证，但投标人须在投标文件中单独出具书面说明，列明产品类型及免登记政策依据，未提供说明的，该项资质不予通过；②投标人为代理商或经销商的提供制造商有效的《全国工业产品生产许可证》（许可范围包含复合肥料）及肥料登记证（或农业农村部登记备案证明）所有复印件均加盖投标单位公章。(材料应清晰可辨并进行电子签章）</w:t>
      </w:r>
    </w:p>
    <w:p>
      <w:pPr>
        <w:pStyle w:val="null3"/>
      </w:pPr>
      <w:r>
        <w:rPr>
          <w:rFonts w:ascii="仿宋_GB2312" w:hAnsi="仿宋_GB2312" w:cs="仿宋_GB2312" w:eastAsia="仿宋_GB2312"/>
        </w:rPr>
        <w:t>5、不接受联合体投标：按照格式填写承诺书。(材料应清晰可辨并进行电子签章）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镇巴县农业技术推广服务中心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镇巴县泾洋街道办事处河滨南路985号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镇巴县农业技术推广服务中心经办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0916-6712062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开户名称：同正项目管理有限公司</w:t>
            </w:r>
          </w:p>
          <w:p>
            <w:pPr>
              <w:pStyle w:val="null3"/>
            </w:pPr>
            <w:r>
              <w:rPr>
                <w:rFonts w:ascii="仿宋_GB2312" w:hAnsi="仿宋_GB2312" w:cs="仿宋_GB2312" w:eastAsia="仿宋_GB2312"/>
              </w:rPr>
              <w:t>开户银行：中国建设银行股份有限公司西安长庆支行</w:t>
            </w:r>
          </w:p>
          <w:p>
            <w:pPr>
              <w:pStyle w:val="null3"/>
            </w:pPr>
            <w:r>
              <w:rPr>
                <w:rFonts w:ascii="仿宋_GB2312" w:hAnsi="仿宋_GB2312" w:cs="仿宋_GB2312" w:eastAsia="仿宋_GB2312"/>
              </w:rPr>
              <w:t>银行账号：61050190550000001106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说明：中标（成交）供应商须在中标通知书发出后 3 个工作日内（签订合同之前），按合同金额提交履约保证金。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的计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汇款备注：项目名称及包号。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镇巴县农业技术推广服务中心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镇巴县农业技术推广服务中心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镇巴县农业技术推广服务中心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采购的产品原有商标、专利、生产工艺、技术配方等原有知识产权，归原生产厂家所有。供应商基于本项目供货所提供的产品、资料、标识等，仅授予采购人无偿的合法使用权，仅限本项目履约及日常使用、验收、备案使用，采购人不得用于二次销售、转让等其他用途。</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验收依据包含但不限于：本项目招标文件、投标文件；本合同及附件文本；合同履行时国家及行业现行的标准和技术规范。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2025年中央粮油生产保障资金（绿色高产高效行动）项目（复合肥）采购一批复合肥料。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复合肥料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标的名称：复合肥料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9"/>
              <w:gridCol w:w="2154"/>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2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9"/>
                    </w:rPr>
                    <w:t>复合肥</w:t>
                  </w:r>
                </w:p>
              </w:tc>
              <w:tc>
                <w:tcPr>
                  <w:tcW w:type="dxa" w:w="2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一、技术指标</w:t>
                  </w:r>
                </w:p>
                <w:p>
                  <w:pPr>
                    <w:pStyle w:val="null3"/>
                  </w:pPr>
                  <w:r>
                    <w:rPr>
                      <w:rFonts w:ascii="仿宋_GB2312" w:hAnsi="仿宋_GB2312" w:cs="仿宋_GB2312" w:eastAsia="仿宋_GB2312"/>
                      <w:sz w:val="18"/>
                    </w:rPr>
                    <w:t>1. 执行标准：GB/T 15063-2020《复合肥料》；</w:t>
                  </w:r>
                </w:p>
                <w:p>
                  <w:pPr>
                    <w:pStyle w:val="null3"/>
                  </w:pPr>
                  <w:r>
                    <w:rPr>
                      <w:rFonts w:ascii="仿宋_GB2312" w:hAnsi="仿宋_GB2312" w:cs="仿宋_GB2312" w:eastAsia="仿宋_GB2312"/>
                      <w:sz w:val="18"/>
                    </w:rPr>
                    <w:t>2. 养分配比：N-P₂O₅-K₂O=25-5-10；</w:t>
                  </w:r>
                </w:p>
                <w:p>
                  <w:pPr>
                    <w:pStyle w:val="null3"/>
                  </w:pPr>
                  <w:r>
                    <w:rPr>
                      <w:rFonts w:ascii="仿宋_GB2312" w:hAnsi="仿宋_GB2312" w:cs="仿宋_GB2312" w:eastAsia="仿宋_GB2312"/>
                      <w:sz w:val="18"/>
                    </w:rPr>
                    <w:t>3. 氯含量属性：中氯或低氯，产品外包装必须清晰标注氯含量属性。</w:t>
                  </w:r>
                </w:p>
                <w:p>
                  <w:pPr>
                    <w:pStyle w:val="null3"/>
                  </w:pPr>
                  <w:r>
                    <w:rPr>
                      <w:rFonts w:ascii="仿宋_GB2312" w:hAnsi="仿宋_GB2312" w:cs="仿宋_GB2312" w:eastAsia="仿宋_GB2312"/>
                      <w:sz w:val="19"/>
                      <w:b/>
                    </w:rPr>
                    <w:t>二、工艺要求</w:t>
                  </w:r>
                </w:p>
                <w:p>
                  <w:pPr>
                    <w:pStyle w:val="null3"/>
                  </w:pPr>
                  <w:r>
                    <w:rPr>
                      <w:rFonts w:ascii="仿宋_GB2312" w:hAnsi="仿宋_GB2312" w:cs="仿宋_GB2312" w:eastAsia="仿宋_GB2312"/>
                      <w:sz w:val="18"/>
                    </w:rPr>
                    <w:t>所投复合肥料产品需采用高塔造粒生产工艺。</w:t>
                  </w:r>
                </w:p>
                <w:p>
                  <w:pPr>
                    <w:pStyle w:val="null3"/>
                  </w:pPr>
                  <w:r>
                    <w:rPr>
                      <w:rFonts w:ascii="仿宋_GB2312" w:hAnsi="仿宋_GB2312" w:cs="仿宋_GB2312" w:eastAsia="仿宋_GB2312"/>
                      <w:sz w:val="19"/>
                      <w:b/>
                    </w:rPr>
                    <w:t>三、包装及运输要求</w:t>
                  </w:r>
                </w:p>
                <w:p>
                  <w:pPr>
                    <w:pStyle w:val="null3"/>
                  </w:pPr>
                  <w:r>
                    <w:rPr>
                      <w:rFonts w:ascii="仿宋_GB2312" w:hAnsi="仿宋_GB2312" w:cs="仿宋_GB2312" w:eastAsia="仿宋_GB2312"/>
                      <w:sz w:val="18"/>
                    </w:rPr>
                    <w:t>包装要求：采用</w:t>
                  </w:r>
                  <w:r>
                    <w:rPr>
                      <w:rFonts w:ascii="仿宋_GB2312" w:hAnsi="仿宋_GB2312" w:cs="仿宋_GB2312" w:eastAsia="仿宋_GB2312"/>
                      <w:sz w:val="18"/>
                    </w:rPr>
                    <w:t>25 公斤 / 袋原厂标准包装，包装完好无破损、无漏料，标识清晰完整；</w:t>
                  </w:r>
                </w:p>
                <w:p>
                  <w:pPr>
                    <w:pStyle w:val="null3"/>
                  </w:pPr>
                  <w:r>
                    <w:rPr>
                      <w:rFonts w:ascii="仿宋_GB2312" w:hAnsi="仿宋_GB2312" w:cs="仿宋_GB2312" w:eastAsia="仿宋_GB2312"/>
                      <w:sz w:val="18"/>
                    </w:rPr>
                    <w:t>运输及交付：成交供应商负责包装卸、包运输，将货物运送至采购方指定地点。</w:t>
                  </w:r>
                </w:p>
              </w:tc>
            </w:tr>
          </w:tbl>
          <w:p>
            <w:pPr>
              <w:pStyle w:val="null3"/>
            </w:pPr>
            <w:r>
              <w:rPr>
                <w:rFonts w:ascii="仿宋_GB2312" w:hAnsi="仿宋_GB2312" w:cs="仿宋_GB2312" w:eastAsia="仿宋_GB2312"/>
                <w:sz w:val="18"/>
              </w:rPr>
              <w:t>注：</w:t>
            </w:r>
            <w:r>
              <w:rPr>
                <w:rFonts w:ascii="仿宋_GB2312" w:hAnsi="仿宋_GB2312" w:cs="仿宋_GB2312" w:eastAsia="仿宋_GB2312"/>
                <w:sz w:val="18"/>
              </w:rPr>
              <w:t>1.以“#”标注的为本项目的核心产品；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18"/>
              </w:rPr>
              <w:t>2.标识 “★”1-3项指标须提供对应有效佐证材料，材料包含但不限于CMA 第三方检测报告、厂家出厂质检报告单等。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b/>
              </w:rPr>
              <w:t>本项目采用单价报价模式，单价限</w:t>
            </w:r>
            <w:r>
              <w:rPr>
                <w:rFonts w:ascii="仿宋_GB2312" w:hAnsi="仿宋_GB2312" w:cs="仿宋_GB2312" w:eastAsia="仿宋_GB2312"/>
                <w:sz w:val="18"/>
                <w:b/>
              </w:rPr>
              <w:t>价（招单价的）供应商报价不允许超过标的单价。</w:t>
            </w:r>
          </w:p>
          <w:p>
            <w:pPr>
              <w:pStyle w:val="null3"/>
            </w:pPr>
            <w:r>
              <w:rPr>
                <w:rFonts w:ascii="仿宋_GB2312" w:hAnsi="仿宋_GB2312" w:cs="仿宋_GB2312" w:eastAsia="仿宋_GB2312"/>
                <w:sz w:val="18"/>
                <w:b/>
              </w:rPr>
              <w:t>单价</w:t>
            </w:r>
            <w:r>
              <w:rPr>
                <w:rFonts w:ascii="仿宋_GB2312" w:hAnsi="仿宋_GB2312" w:cs="仿宋_GB2312" w:eastAsia="仿宋_GB2312"/>
                <w:sz w:val="18"/>
                <w:b/>
              </w:rPr>
              <w:t>（元）</w:t>
            </w:r>
            <w:r>
              <w:rPr>
                <w:rFonts w:ascii="仿宋_GB2312" w:hAnsi="仿宋_GB2312" w:cs="仿宋_GB2312" w:eastAsia="仿宋_GB2312"/>
                <w:sz w:val="18"/>
                <w:b/>
              </w:rPr>
              <w:t>最高限价：</w:t>
            </w:r>
            <w:r>
              <w:rPr>
                <w:rFonts w:ascii="仿宋_GB2312" w:hAnsi="仿宋_GB2312" w:cs="仿宋_GB2312" w:eastAsia="仿宋_GB2312"/>
                <w:sz w:val="18"/>
                <w:b/>
              </w:rPr>
              <w:t>3297.87</w:t>
            </w:r>
            <w:r>
              <w:rPr>
                <w:rFonts w:ascii="仿宋_GB2312" w:hAnsi="仿宋_GB2312" w:cs="仿宋_GB2312" w:eastAsia="仿宋_GB2312"/>
                <w:sz w:val="18"/>
                <w:b/>
              </w:rPr>
              <w:t>元/吨，合计金额</w:t>
            </w:r>
            <w:r>
              <w:rPr>
                <w:rFonts w:ascii="仿宋_GB2312" w:hAnsi="仿宋_GB2312" w:cs="仿宋_GB2312" w:eastAsia="仿宋_GB2312"/>
                <w:sz w:val="18"/>
                <w:b/>
              </w:rPr>
              <w:t>（元）</w:t>
            </w:r>
            <w:r>
              <w:rPr>
                <w:rFonts w:ascii="仿宋_GB2312" w:hAnsi="仿宋_GB2312" w:cs="仿宋_GB2312" w:eastAsia="仿宋_GB2312"/>
                <w:sz w:val="18"/>
                <w:b/>
              </w:rPr>
              <w:t>：310000.00元，数量：根据单价据实计算。</w:t>
            </w:r>
          </w:p>
          <w:p>
            <w:pPr>
              <w:pStyle w:val="null3"/>
            </w:pPr>
            <w:r>
              <w:rPr>
                <w:rFonts w:ascii="仿宋_GB2312" w:hAnsi="仿宋_GB2312" w:cs="仿宋_GB2312" w:eastAsia="仿宋_GB2312"/>
                <w:sz w:val="18"/>
                <w:b/>
              </w:rPr>
              <w:t>最终报价单价不得高于 3297.87 元 / 吨；实际供货数量 = 预算总金额 ÷ 中标单价，最终结算价款 = 实际供货吨数 × 中标单价，结算总金额最高不超过 310000 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2026年9月10日前完成全部供货、交付及验收工作。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其他，项目全部供货完成、验收合格且资料齐全后，达到付款条件起15个工作日内，支付合同总金额的100.0%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采购人成立专项验收小组，对照招标文件、投标文件、合同约定及国家行业标准，对产品数量、质量、包装、参数等进行现场逐项验收。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依据《中华人民共和国民法典》《中华人民共和国政府采购法》的相关条款和本合同约定的相关条款执行。 （2）合同在履行过程中发生的争议，当事人双方应协商解决，协商达不成一致时，可向采购方所在地人民法院提请诉讼。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 3、支持本国产业政策：依据《国务院办公厅关于在政府采购中实施本国产品标准及相关政策的通知》和《陕西省财政厅-关于在政府采购活动中实施本国产品标准及相关政策的通知》（陕财办采〔2026〕2号）等文件。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投标人的资格要求</w:t>
            </w:r>
          </w:p>
        </w:tc>
        <w:tc>
          <w:tcPr>
            <w:tcW w:type="dxa" w:w="3322"/>
          </w:tcPr>
          <w:p>
            <w:pPr>
              <w:pStyle w:val="null3"/>
            </w:pPr>
            <w:r>
              <w:rPr>
                <w:rFonts w:ascii="仿宋_GB2312" w:hAnsi="仿宋_GB2312" w:cs="仿宋_GB2312" w:eastAsia="仿宋_GB2312"/>
              </w:rPr>
              <w:t>①投标人为制造商的须提供有效的《全国工业产品生产许可证》（许可范围包含复合肥料）及肥料登记证（或农业农村部登记备案证明）复印件，根据《肥料登记管理办法》规定属于免予登记的肥料产品，可不提供登记证，但投标人须在投标文件中单独出具书面说明，列明产品类型及免登记政策依据，未提供说明的，该项资质不予通过；②投标人为代理商或经销商的提供制造商有效的《全国工业产品生产许可证》（许可范围包含复合肥料）及肥料登记证（或农业农村部登记备案证明）所有复印件均加盖投标单位公章。(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只能有一个有效报价，不得提交选择性报价，且报价不超过采购预算金额或最高限价未设置</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招标文件内容</w:t>
            </w:r>
          </w:p>
        </w:tc>
        <w:tc>
          <w:tcPr>
            <w:tcW w:type="dxa" w:w="3322"/>
          </w:tcPr>
          <w:p>
            <w:pPr>
              <w:pStyle w:val="null3"/>
            </w:pPr>
            <w:r>
              <w:rPr>
                <w:rFonts w:ascii="仿宋_GB2312" w:hAnsi="仿宋_GB2312" w:cs="仿宋_GB2312" w:eastAsia="仿宋_GB2312"/>
              </w:rPr>
              <w:t>招标文件内容齐全、无遗漏</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一、评审内容：针对本项目提供完整的项目供货方案，包括①具有详细的备货、供货且按时按量供货的服务方案；②项目备货、运输、交付、现场服务全流程安全管理制度及验收组织措施方案。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一、评审内容：针对本项目制定完善的项目实施质量保证措施，包括①源头采购及仓储保管质量保证措施；②运输交付验收及售后质量追溯保障措施。 二、赋分标准： 1.完整性：对上述各项内容均有描述，得1分；每缺1项扣0.5分，扣完为止。此项不提供不得分。 2.针对性：上述各项内容针对性明确，每项内容得1分；针对性较明确，每项内容得0.5分；缺乏针对性，每项内容得0分。未提供本项内容得0分。 3.可实施性：上述各项内容可实施性合理，每项内容得1分；可实施性较合理，每项内容得0.5分；缺乏可实施性，每项内容得0分。此项不提供不得分。说明: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一、评审内容：针对本项目供货及履约全过程出现突发问题（ 运输延误、货品受潮、破损、变质、结块、抽检不合格、供货短缺、突发天气影响等)的应急处置方案，包括①产品备货、运输、交付全过程突发问题的应急处置方案；②出现突发状况应急响应时限及处置流程。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内容提供工作制度，包括不限于：①项目管理制度；②供货对接管理制度；③入库质量检验管理制度；④仓库保管制度；⑤台账档案管理制度；⑥运输配送安全管理制度；⑦项目进度跟踪管理制度；⑧质量问题处理制度；⑨售后管理制度；⑩岗位权责分工制度。二、赋分标准： 以上各项内容均有描述，得20分；每缺1项扣2分，扣完为止。未提供本章节得0分。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履约全过程提供服务承诺，包括不限于：①产品保质保量承诺；②按期交付承诺；③包装、运输质量保障承诺；④技术服务及种植指导承诺；⑤售后质保及问题处置承诺；⑥专人全程对接服务承诺；⑦免费协助验收承诺；⑧售后长效回访承诺。二、赋分标准： 以上各项内容均有描述，得16分；每缺1项扣2分，扣完为止。未提供本章节得0分。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投标人须结合本地农业生产实际，提供完整肥料施肥配套技术服务方案，包括不限于：①现场指导肥料规范施肥；②分阶段开展肥料田间管护培训；③农户技术宣讲及发放肥料施肥操作手册；④定期田间巡查，上门答疑及问题处置。二、赋分标准： 以上各项内容均有描述，得6分；每缺1项扣1.5分，扣完为止。未提供本章节得0分。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一、评审内容：投标人须提供所投产品合法供货渠道证明材料（生产厂家授权书、代理协议、购销合同三者任选其一）。二、赋分标准：提供有效、清晰、加盖公章的渠道证明材料得3分；未提供或材料无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8月1日至今类似项目业绩。二、赋分标准：每提供1份有效业绩得2.5分，满分5分。无此项内容不得分。（注：业绩证明材料以中标（成交）通知书或合同协议书为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2.以满足本次招标文件要求的最低报价为评审基准价，其价格为满分； 3.投标人报价得分=（评审基准价/报价）×30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