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版本号：ZCHZCG-2026-00820260518002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南郑区中心敬老院院民住院治疗照料护理陪护项目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ZCHZCG-2026-008</w:t>
      </w:r>
      <w:r>
        <w:br/>
      </w:r>
      <w:r>
        <w:br/>
      </w:r>
      <w:r>
        <w:br/>
      </w:r>
    </w:p>
    <w:p>
      <w:pPr>
        <w:pStyle w:val="null3"/>
        <w:jc w:val="center"/>
        <w:outlineLvl w:val="2"/>
      </w:pPr>
      <w:r>
        <w:rPr>
          <w:rFonts w:ascii="仿宋_GB2312" w:hAnsi="仿宋_GB2312" w:cs="仿宋_GB2312" w:eastAsia="仿宋_GB2312"/>
          <w:sz w:val="28"/>
          <w:b/>
        </w:rPr>
        <w:t>汉中市南郑区中心敬老院</w:t>
      </w:r>
    </w:p>
    <w:p>
      <w:pPr>
        <w:pStyle w:val="null3"/>
        <w:jc w:val="center"/>
        <w:outlineLvl w:val="2"/>
      </w:pPr>
      <w:r>
        <w:rPr>
          <w:rFonts w:ascii="仿宋_GB2312" w:hAnsi="仿宋_GB2312" w:cs="仿宋_GB2312" w:eastAsia="仿宋_GB2312"/>
          <w:sz w:val="28"/>
          <w:b/>
        </w:rPr>
        <w:t>正昌国际项目管理有限公司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正昌国际项目管理有限公司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汉中市南郑区中心敬老院</w:t>
      </w:r>
      <w:r>
        <w:rPr>
          <w:rFonts w:ascii="仿宋_GB2312" w:hAnsi="仿宋_GB2312" w:cs="仿宋_GB2312" w:eastAsia="仿宋_GB2312"/>
        </w:rPr>
        <w:t>委托，拟对</w:t>
      </w:r>
      <w:r>
        <w:rPr>
          <w:rFonts w:ascii="仿宋_GB2312" w:hAnsi="仿宋_GB2312" w:cs="仿宋_GB2312" w:eastAsia="仿宋_GB2312"/>
        </w:rPr>
        <w:t>南郑区中心敬老院院民住院治疗照料护理陪护项目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ZCHZCG-2026-008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南郑区中心敬老院院民住院治疗照料护理陪护项目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完成汉中市南郑区中心敬老院南郑区中心敬老院院民住院治疗照料护理陪护项目，为老人提供住院期间生活照料及餐食。</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采购包1（汉中市南郑区中心敬老院院民住院治疗照料护理陪护项目（1包））：属于专门面向中小企业采购。</w:t>
      </w:r>
    </w:p>
    <w:p>
      <w:pPr>
        <w:pStyle w:val="null3"/>
      </w:pPr>
      <w:r>
        <w:rPr>
          <w:rFonts w:ascii="仿宋_GB2312" w:hAnsi="仿宋_GB2312" w:cs="仿宋_GB2312" w:eastAsia="仿宋_GB2312"/>
        </w:rPr>
        <w:t>采购包2（汉中市南郑区中心敬老院院民住院治疗照料护理陪护项目（2包））：属于专门面向中小企业采购。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p>
      <w:pPr>
        <w:pStyle w:val="null3"/>
      </w:pPr>
      <w:r>
        <w:rPr>
          <w:rFonts w:ascii="仿宋_GB2312" w:hAnsi="仿宋_GB2312" w:cs="仿宋_GB2312" w:eastAsia="仿宋_GB2312"/>
        </w:rPr>
        <w:t>2、授权委托：法定代表人授权委托书（附法定代表人身份证复印件）及被授权委托人身份证（法定代表人参加投标只须提供法定代表人身份证）。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3、汉中市政府采购供应商资格承诺函：按照汉中市财政局《关于全面推行政府采购供应商基本资格条件承诺制的通知》（汉财办采管〔2024〕20 号）文件 要求，提供《汉中市政府采购供应商资格承诺函》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p>
      <w:pPr>
        <w:pStyle w:val="null3"/>
      </w:pPr>
      <w:r>
        <w:rPr>
          <w:rFonts w:ascii="仿宋_GB2312" w:hAnsi="仿宋_GB2312" w:cs="仿宋_GB2312" w:eastAsia="仿宋_GB2312"/>
        </w:rPr>
        <w:t>2、授权委托：法定代表人授权委托书（附法定代表人身份证复印件）及被授权委托人身份证（法定代表人参加投标只须提供法定代表人身份证）。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3、汉中市政府采购供应商资格承诺函：按照汉中市财政局《关于全面推行政府采购供应商基本资格条件承诺制的通知》（汉财办采管〔2024〕20 号）文件 要求，提供《汉中市政府采购供应商资格承诺函》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汉中市南郑区中心敬老院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汉中市南郑区阳春镇付家河村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汉中市南郑区中心敬老院经办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0916-2820699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正昌国际项目管理有限公司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汉中市过街楼村南一环路 202 号（汉台区检察院斜对面巷内）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17762169361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p>
          <w:p>
            <w:pPr>
              <w:pStyle w:val="null3"/>
            </w:pPr>
            <w:r>
              <w:rPr>
                <w:rFonts w:ascii="仿宋_GB2312" w:hAnsi="仿宋_GB2312" w:cs="仿宋_GB2312" w:eastAsia="仿宋_GB2312"/>
              </w:rPr>
              <w:t>采购包2：850,000.00元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采购包2保证金金额：5,000.00元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开户名称：正昌国际项目管理有限公司汉中分公司</w:t>
            </w:r>
          </w:p>
          <w:p>
            <w:pPr>
              <w:pStyle w:val="null3"/>
            </w:pPr>
            <w:r>
              <w:rPr>
                <w:rFonts w:ascii="仿宋_GB2312" w:hAnsi="仿宋_GB2312" w:cs="仿宋_GB2312" w:eastAsia="仿宋_GB2312"/>
              </w:rPr>
              <w:t>开户银行：中国工商银行股份有限公司汉中南环路支行</w:t>
            </w:r>
          </w:p>
          <w:p>
            <w:pPr>
              <w:pStyle w:val="null3"/>
            </w:pPr>
            <w:r>
              <w:rPr>
                <w:rFonts w:ascii="仿宋_GB2312" w:hAnsi="仿宋_GB2312" w:cs="仿宋_GB2312" w:eastAsia="仿宋_GB2312"/>
              </w:rPr>
              <w:t>银行账号：2606021609200076314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代理服务费收费标准：1、参照国家计委计价格[2002]1980号及发改办价格[2003]857号通知规定，由中标人支付代理服务费。2、本项目采购代理费按服务计取。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汉中市南郑区中心敬老院</w:t>
      </w:r>
      <w:r>
        <w:rPr>
          <w:rFonts w:ascii="仿宋_GB2312" w:hAnsi="仿宋_GB2312" w:cs="仿宋_GB2312" w:eastAsia="仿宋_GB2312"/>
        </w:rPr>
        <w:t>和</w:t>
      </w:r>
      <w:r>
        <w:rPr>
          <w:rFonts w:ascii="仿宋_GB2312" w:hAnsi="仿宋_GB2312" w:cs="仿宋_GB2312" w:eastAsia="仿宋_GB2312"/>
        </w:rPr>
        <w:t>正昌国际项目管理有限公司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汉中市南郑区中心敬老院</w:t>
      </w:r>
      <w:r>
        <w:rPr>
          <w:rFonts w:ascii="仿宋_GB2312" w:hAnsi="仿宋_GB2312" w:cs="仿宋_GB2312" w:eastAsia="仿宋_GB2312"/>
        </w:rPr>
        <w:t>负责解释。除上述磋商文件内容，其他内容由</w:t>
      </w:r>
      <w:r>
        <w:rPr>
          <w:rFonts w:ascii="仿宋_GB2312" w:hAnsi="仿宋_GB2312" w:cs="仿宋_GB2312" w:eastAsia="仿宋_GB2312"/>
        </w:rPr>
        <w:t>正昌国际项目管理有限公司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汉中市南郑区中心敬老院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正昌国际项目管理有限公司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服务期满，服务过程满足采购人需求。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服务期满，服务过程满足采购人需求。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正昌国际项目管理有限公司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正昌国际项目管理有限公司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正昌国际项目管理有限公司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联系人：吴先生</w:t>
      </w:r>
    </w:p>
    <w:p>
      <w:pPr>
        <w:pStyle w:val="null3"/>
      </w:pPr>
      <w:r>
        <w:rPr>
          <w:rFonts w:ascii="仿宋_GB2312" w:hAnsi="仿宋_GB2312" w:cs="仿宋_GB2312" w:eastAsia="仿宋_GB2312"/>
        </w:rPr>
        <w:t>联系电话：17762169361</w:t>
      </w:r>
    </w:p>
    <w:p>
      <w:pPr>
        <w:pStyle w:val="null3"/>
      </w:pPr>
      <w:r>
        <w:rPr>
          <w:rFonts w:ascii="仿宋_GB2312" w:hAnsi="仿宋_GB2312" w:cs="仿宋_GB2312" w:eastAsia="仿宋_GB2312"/>
        </w:rPr>
        <w:t>地址：汉中市过街楼村南一环路 202 号（汉台区检察院斜对面巷内）</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完成汉中市南郑区中心敬老院南郑区中心敬老院院民住院治疗照料护理陪护项目，为老人提供住院期间生活照料及餐食。</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汉中市南郑区中心敬老院院民住院治疗照料护理陪护项目（1包）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汉中市南郑区中心敬老院院民住院治疗照料护理陪护项目（2包）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标的名称：汉中市南郑区中心敬老院院民住院治疗照料护理陪护项目（1包）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护理服务标准与要求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）、协助住院老人做好个人卫生，及时剪指（趾）甲、理发剃须；有条件的地方，至少每周洗澡</w:t>
            </w:r>
            <w:r>
              <w:rPr>
                <w:rFonts w:ascii="仿宋_GB2312" w:hAnsi="仿宋_GB2312" w:cs="仿宋_GB2312" w:eastAsia="仿宋_GB2312"/>
                <w:sz w:val="21"/>
              </w:rPr>
              <w:t>1</w:t>
            </w:r>
            <w:r>
              <w:rPr>
                <w:rFonts w:ascii="仿宋_GB2312" w:hAnsi="仿宋_GB2312" w:cs="仿宋_GB2312" w:eastAsia="仿宋_GB2312"/>
                <w:sz w:val="21"/>
              </w:rPr>
              <w:t>次，夏季要适时增加洗澡次数。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）、协助老人按照医院要求做好床铺卫生，保持床铺清洁，必要时及时更换、晾晒被褥。</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）、做好老人住院期间的生活照护、住（出）院手续办理等工作；当病情严重或有异常情况时，及时与老人所属敬老院机构负责人进行联系。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）、特困人员有需求时，在符合医院管理规定或经所属敬老院负责人同意后为其代购日常用品和药品等。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）、及时了解掌握老人住院期间思想、心理变化，发现异常情况，及时向报告老人所属敬老院负责人和公司负责人进行汇报。</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）、建立健全老人住院期间生活照护服务工作台账，敬老院采取定期和不定期的方式进行实地走访，检查老人住院的生活照料服务情况。</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）、协助住院老人按时用餐、饮水、用药等，必要时提供临终关怀服务。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）、及时为老人洗头、剪指（趾）甲、理发、剃须、洗澡或擦身，夏季气候炎热时，应适当增加洗澡或擦身次数。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）、对长期卧床、不能自主翻身的老人及时翻身，变换卧位，检查皮肤受压情况，防止褥疮发生。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）、帮助老人人员如厕，对大小便失禁或卧床不起的老人，做到勤查看、勤换尿布、勤擦洗下身、勤更换衣被，保持特困人员清洁、无异味。</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）、为住院老人提供简单、有针对性的康复指导。视天气情况及老人身体状况，搀扶或推轮椅到户外活动或接受光照。</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）、协助住院老人完成亲属的探视探望。</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）、住院陪护期间需防止老人意外走失。</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）、服务人员不得超过</w:t>
            </w:r>
            <w:r>
              <w:rPr>
                <w:rFonts w:ascii="仿宋_GB2312" w:hAnsi="仿宋_GB2312" w:cs="仿宋_GB2312" w:eastAsia="仿宋_GB2312"/>
                <w:sz w:val="21"/>
              </w:rPr>
              <w:t>60</w:t>
            </w:r>
            <w:r>
              <w:rPr>
                <w:rFonts w:ascii="仿宋_GB2312" w:hAnsi="仿宋_GB2312" w:cs="仿宋_GB2312" w:eastAsia="仿宋_GB2312"/>
                <w:sz w:val="21"/>
              </w:rPr>
              <w:t>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）、院民在医院住院期间一切的安全责任应由护理公司承担。</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14"/>
              <w:gridCol w:w="1724"/>
              <w:gridCol w:w="415"/>
            </w:tblGrid>
            <w:tr>
              <w:tc>
                <w:tcPr>
                  <w:tcW w:type="dxa" w:w="2553"/>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护理内容及要求</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项目</w:t>
                  </w:r>
                </w:p>
              </w:tc>
              <w:tc>
                <w:tcPr>
                  <w:tcW w:type="dxa" w:w="17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内容</w:t>
                  </w:r>
                </w:p>
              </w:tc>
              <w:tc>
                <w:tcPr>
                  <w:tcW w:type="dxa" w:w="4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备注</w:t>
                  </w:r>
                </w:p>
              </w:tc>
            </w:tr>
            <w:tr>
              <w:tc>
                <w:tcPr>
                  <w:tcW w:type="dxa" w:w="4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个人卫生</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洗脸、洗脚</w:t>
                  </w:r>
                </w:p>
              </w:tc>
              <w:tc>
                <w:tcPr>
                  <w:tcW w:type="dxa" w:w="4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均为</w:t>
                  </w:r>
                  <w:r>
                    <w:rPr>
                      <w:rFonts w:ascii="仿宋_GB2312" w:hAnsi="仿宋_GB2312" w:cs="仿宋_GB2312" w:eastAsia="仿宋_GB2312"/>
                      <w:sz w:val="21"/>
                    </w:rPr>
                    <w:t>24</w:t>
                  </w:r>
                  <w:r>
                    <w:rPr>
                      <w:rFonts w:ascii="仿宋_GB2312" w:hAnsi="仿宋_GB2312" w:cs="仿宋_GB2312" w:eastAsia="仿宋_GB2312"/>
                      <w:sz w:val="21"/>
                    </w:rPr>
                    <w:t>小时服务</w:t>
                  </w:r>
                </w:p>
              </w:tc>
            </w:tr>
            <w:tr>
              <w:tc>
                <w:tcPr>
                  <w:tcW w:type="dxa" w:w="414"/>
                  <w:vMerge/>
                  <w:tcBorders>
                    <w:top w:val="none" w:color="000000" w:sz="4"/>
                    <w:left w:val="single" w:color="000000" w:sz="4"/>
                    <w:bottom w:val="single" w:color="000000" w:sz="4"/>
                    <w:right w:val="single" w:color="000000" w:sz="4"/>
                  </w:tcBorders>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洗头、梳头</w:t>
                  </w:r>
                </w:p>
              </w:tc>
              <w:tc>
                <w:tcPr>
                  <w:tcW w:type="dxa" w:w="415"/>
                  <w:vMerge/>
                  <w:tcBorders>
                    <w:top w:val="none" w:color="000000" w:sz="4"/>
                    <w:left w:val="none" w:color="000000" w:sz="4"/>
                    <w:bottom w:val="single" w:color="000000" w:sz="4"/>
                    <w:right w:val="single" w:color="000000" w:sz="4"/>
                  </w:tcBorders>
                </w:tcPr>
                <w:p/>
              </w:tc>
            </w:tr>
            <w:tr>
              <w:tc>
                <w:tcPr>
                  <w:tcW w:type="dxa" w:w="414"/>
                  <w:vMerge/>
                  <w:tcBorders>
                    <w:top w:val="none" w:color="000000" w:sz="4"/>
                    <w:left w:val="single" w:color="000000" w:sz="4"/>
                    <w:bottom w:val="single" w:color="000000" w:sz="4"/>
                    <w:right w:val="single" w:color="000000" w:sz="4"/>
                  </w:tcBorders>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卧床病人早晚擦身</w:t>
                  </w:r>
                </w:p>
              </w:tc>
              <w:tc>
                <w:tcPr>
                  <w:tcW w:type="dxa" w:w="415"/>
                  <w:vMerge/>
                  <w:tcBorders>
                    <w:top w:val="none" w:color="000000" w:sz="4"/>
                    <w:left w:val="none" w:color="000000" w:sz="4"/>
                    <w:bottom w:val="single" w:color="000000" w:sz="4"/>
                    <w:right w:val="single" w:color="000000" w:sz="4"/>
                  </w:tcBorders>
                </w:tcPr>
                <w:p/>
              </w:tc>
            </w:tr>
            <w:tr>
              <w:tc>
                <w:tcPr>
                  <w:tcW w:type="dxa" w:w="414"/>
                  <w:vMerge/>
                  <w:tcBorders>
                    <w:top w:val="none" w:color="000000" w:sz="4"/>
                    <w:left w:val="single" w:color="000000" w:sz="4"/>
                    <w:bottom w:val="single" w:color="000000" w:sz="4"/>
                    <w:right w:val="single" w:color="000000" w:sz="4"/>
                  </w:tcBorders>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漱口假牙护理</w:t>
                  </w:r>
                </w:p>
              </w:tc>
              <w:tc>
                <w:tcPr>
                  <w:tcW w:type="dxa" w:w="415"/>
                  <w:vMerge/>
                  <w:tcBorders>
                    <w:top w:val="none" w:color="000000" w:sz="4"/>
                    <w:left w:val="none" w:color="000000" w:sz="4"/>
                    <w:bottom w:val="single" w:color="000000" w:sz="4"/>
                    <w:right w:val="single" w:color="000000" w:sz="4"/>
                  </w:tcBorders>
                </w:tcPr>
                <w:p/>
              </w:tc>
            </w:tr>
            <w:tr>
              <w:tc>
                <w:tcPr>
                  <w:tcW w:type="dxa" w:w="414"/>
                  <w:vMerge/>
                  <w:tcBorders>
                    <w:top w:val="none" w:color="000000" w:sz="4"/>
                    <w:left w:val="single" w:color="000000" w:sz="4"/>
                    <w:bottom w:val="single" w:color="000000" w:sz="4"/>
                    <w:right w:val="single" w:color="000000" w:sz="4"/>
                  </w:tcBorders>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洗澡更换干净被服</w:t>
                  </w:r>
                </w:p>
              </w:tc>
              <w:tc>
                <w:tcPr>
                  <w:tcW w:type="dxa" w:w="415"/>
                  <w:vMerge/>
                  <w:tcBorders>
                    <w:top w:val="none" w:color="000000" w:sz="4"/>
                    <w:left w:val="none" w:color="000000" w:sz="4"/>
                    <w:bottom w:val="single" w:color="000000" w:sz="4"/>
                    <w:right w:val="single" w:color="000000" w:sz="4"/>
                  </w:tcBorders>
                </w:tcPr>
                <w:p/>
              </w:tc>
            </w:tr>
            <w:tr>
              <w:tc>
                <w:tcPr>
                  <w:tcW w:type="dxa" w:w="414"/>
                  <w:vMerge/>
                  <w:tcBorders>
                    <w:top w:val="none" w:color="000000" w:sz="4"/>
                    <w:left w:val="single" w:color="000000" w:sz="4"/>
                    <w:bottom w:val="single" w:color="000000" w:sz="4"/>
                    <w:right w:val="single" w:color="000000" w:sz="4"/>
                  </w:tcBorders>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协助大小便、清倒便盆</w:t>
                  </w:r>
                </w:p>
              </w:tc>
              <w:tc>
                <w:tcPr>
                  <w:tcW w:type="dxa" w:w="415"/>
                  <w:vMerge/>
                  <w:tcBorders>
                    <w:top w:val="none" w:color="000000" w:sz="4"/>
                    <w:left w:val="none" w:color="000000" w:sz="4"/>
                    <w:bottom w:val="single" w:color="000000" w:sz="4"/>
                    <w:right w:val="single" w:color="000000" w:sz="4"/>
                  </w:tcBorders>
                </w:tcPr>
                <w:p/>
              </w:tc>
            </w:tr>
            <w:tr>
              <w:tc>
                <w:tcPr>
                  <w:tcW w:type="dxa" w:w="414"/>
                  <w:vMerge/>
                  <w:tcBorders>
                    <w:top w:val="none" w:color="000000" w:sz="4"/>
                    <w:left w:val="single" w:color="000000" w:sz="4"/>
                    <w:bottom w:val="single" w:color="000000" w:sz="4"/>
                    <w:right w:val="single" w:color="000000" w:sz="4"/>
                  </w:tcBorders>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及时清理失禁的大小便</w:t>
                  </w:r>
                </w:p>
              </w:tc>
              <w:tc>
                <w:tcPr>
                  <w:tcW w:type="dxa" w:w="415"/>
                  <w:vMerge/>
                  <w:tcBorders>
                    <w:top w:val="none" w:color="000000" w:sz="4"/>
                    <w:left w:val="none" w:color="000000" w:sz="4"/>
                    <w:bottom w:val="single" w:color="000000" w:sz="4"/>
                    <w:right w:val="single" w:color="000000" w:sz="4"/>
                  </w:tcBorders>
                </w:tcPr>
                <w:p/>
              </w:tc>
            </w:tr>
            <w:tr>
              <w:tc>
                <w:tcPr>
                  <w:tcW w:type="dxa" w:w="414"/>
                  <w:vMerge/>
                  <w:tcBorders>
                    <w:top w:val="none" w:color="000000" w:sz="4"/>
                    <w:left w:val="single" w:color="000000" w:sz="4"/>
                    <w:bottom w:val="single" w:color="000000" w:sz="4"/>
                    <w:right w:val="single" w:color="000000" w:sz="4"/>
                  </w:tcBorders>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对褥疮患者，遵遗嘱按时翻身，保持创面清洁，干爽</w:t>
                  </w:r>
                </w:p>
              </w:tc>
              <w:tc>
                <w:tcPr>
                  <w:tcW w:type="dxa" w:w="415"/>
                  <w:vMerge/>
                  <w:tcBorders>
                    <w:top w:val="none" w:color="000000" w:sz="4"/>
                    <w:left w:val="none" w:color="000000" w:sz="4"/>
                    <w:bottom w:val="single" w:color="000000" w:sz="4"/>
                    <w:right w:val="single" w:color="000000" w:sz="4"/>
                  </w:tcBorders>
                </w:tcPr>
                <w:p/>
              </w:tc>
            </w:tr>
            <w:tr>
              <w:tc>
                <w:tcPr>
                  <w:tcW w:type="dxa" w:w="414"/>
                  <w:vMerge/>
                  <w:tcBorders>
                    <w:top w:val="none" w:color="000000" w:sz="4"/>
                    <w:left w:val="single" w:color="000000" w:sz="4"/>
                    <w:bottom w:val="single" w:color="000000" w:sz="4"/>
                    <w:right w:val="single" w:color="000000" w:sz="4"/>
                  </w:tcBorders>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及时更换床单被服保持衣物床单干净整洁</w:t>
                  </w:r>
                </w:p>
              </w:tc>
              <w:tc>
                <w:tcPr>
                  <w:tcW w:type="dxa" w:w="415"/>
                  <w:vMerge/>
                  <w:tcBorders>
                    <w:top w:val="none" w:color="000000" w:sz="4"/>
                    <w:left w:val="none" w:color="000000" w:sz="4"/>
                    <w:bottom w:val="single" w:color="000000" w:sz="4"/>
                    <w:right w:val="single" w:color="000000" w:sz="4"/>
                  </w:tcBorders>
                </w:tcPr>
                <w:p/>
              </w:tc>
            </w:tr>
            <w:tr>
              <w:tc>
                <w:tcPr>
                  <w:tcW w:type="dxa" w:w="414"/>
                  <w:vMerge/>
                  <w:tcBorders>
                    <w:top w:val="none" w:color="000000" w:sz="4"/>
                    <w:left w:val="single" w:color="000000" w:sz="4"/>
                    <w:bottom w:val="single" w:color="000000" w:sz="4"/>
                    <w:right w:val="single" w:color="000000" w:sz="4"/>
                  </w:tcBorders>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及时剪趾（指）甲、剃胡须</w:t>
                  </w:r>
                </w:p>
              </w:tc>
              <w:tc>
                <w:tcPr>
                  <w:tcW w:type="dxa" w:w="415"/>
                  <w:vMerge/>
                  <w:tcBorders>
                    <w:top w:val="none" w:color="000000" w:sz="4"/>
                    <w:left w:val="none" w:color="000000" w:sz="4"/>
                    <w:bottom w:val="single" w:color="000000" w:sz="4"/>
                    <w:right w:val="single" w:color="000000" w:sz="4"/>
                  </w:tcBorders>
                </w:tcPr>
                <w:p/>
              </w:tc>
            </w:tr>
            <w:tr>
              <w:tc>
                <w:tcPr>
                  <w:tcW w:type="dxa" w:w="4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三餐护理</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喂饭水</w:t>
                  </w:r>
                </w:p>
              </w:tc>
              <w:tc>
                <w:tcPr>
                  <w:tcW w:type="dxa" w:w="415"/>
                  <w:vMerge/>
                  <w:tcBorders>
                    <w:top w:val="none" w:color="000000" w:sz="4"/>
                    <w:left w:val="none" w:color="000000" w:sz="4"/>
                    <w:bottom w:val="single" w:color="000000" w:sz="4"/>
                    <w:right w:val="single" w:color="000000" w:sz="4"/>
                  </w:tcBorders>
                </w:tcPr>
                <w:p/>
              </w:tc>
            </w:tr>
            <w:tr>
              <w:tc>
                <w:tcPr>
                  <w:tcW w:type="dxa" w:w="414"/>
                  <w:vMerge/>
                  <w:tcBorders>
                    <w:top w:val="none" w:color="000000" w:sz="4"/>
                    <w:left w:val="single" w:color="000000" w:sz="4"/>
                    <w:bottom w:val="single" w:color="000000" w:sz="4"/>
                    <w:right w:val="single" w:color="000000" w:sz="4"/>
                  </w:tcBorders>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清洗病人碗筷并放置在规定位置</w:t>
                  </w:r>
                </w:p>
              </w:tc>
              <w:tc>
                <w:tcPr>
                  <w:tcW w:type="dxa" w:w="415"/>
                  <w:vMerge/>
                  <w:tcBorders>
                    <w:top w:val="none" w:color="000000" w:sz="4"/>
                    <w:left w:val="none" w:color="000000" w:sz="4"/>
                    <w:bottom w:val="single" w:color="000000" w:sz="4"/>
                    <w:right w:val="single" w:color="000000" w:sz="4"/>
                  </w:tcBorders>
                </w:tcPr>
                <w:p/>
              </w:tc>
            </w:tr>
            <w:tr>
              <w:tc>
                <w:tcPr>
                  <w:tcW w:type="dxa" w:w="4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安全护理</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协助坐轮椅病人摆放体位及活动关节</w:t>
                  </w:r>
                </w:p>
              </w:tc>
              <w:tc>
                <w:tcPr>
                  <w:tcW w:type="dxa" w:w="415"/>
                  <w:vMerge/>
                  <w:tcBorders>
                    <w:top w:val="none" w:color="000000" w:sz="4"/>
                    <w:left w:val="none" w:color="000000" w:sz="4"/>
                    <w:bottom w:val="single" w:color="000000" w:sz="4"/>
                    <w:right w:val="single" w:color="000000" w:sz="4"/>
                  </w:tcBorders>
                </w:tcPr>
                <w:p/>
              </w:tc>
            </w:tr>
            <w:tr>
              <w:tc>
                <w:tcPr>
                  <w:tcW w:type="dxa" w:w="414"/>
                  <w:vMerge/>
                  <w:tcBorders>
                    <w:top w:val="none" w:color="000000" w:sz="4"/>
                    <w:left w:val="single" w:color="000000" w:sz="4"/>
                    <w:bottom w:val="single" w:color="000000" w:sz="4"/>
                    <w:right w:val="single" w:color="000000" w:sz="4"/>
                  </w:tcBorders>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协助病人舒适并缓解焦虑</w:t>
                  </w:r>
                </w:p>
              </w:tc>
              <w:tc>
                <w:tcPr>
                  <w:tcW w:type="dxa" w:w="415"/>
                  <w:vMerge/>
                  <w:tcBorders>
                    <w:top w:val="none" w:color="000000" w:sz="4"/>
                    <w:left w:val="none" w:color="000000" w:sz="4"/>
                    <w:bottom w:val="single" w:color="000000" w:sz="4"/>
                    <w:right w:val="single" w:color="000000" w:sz="4"/>
                  </w:tcBorders>
                </w:tcPr>
                <w:p/>
              </w:tc>
            </w:tr>
            <w:tr>
              <w:tc>
                <w:tcPr>
                  <w:tcW w:type="dxa" w:w="414"/>
                  <w:vMerge/>
                  <w:tcBorders>
                    <w:top w:val="none" w:color="000000" w:sz="4"/>
                    <w:left w:val="single" w:color="000000" w:sz="4"/>
                    <w:bottom w:val="single" w:color="000000" w:sz="4"/>
                    <w:right w:val="single" w:color="000000" w:sz="4"/>
                  </w:tcBorders>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协助病人如厕</w:t>
                  </w:r>
                </w:p>
              </w:tc>
              <w:tc>
                <w:tcPr>
                  <w:tcW w:type="dxa" w:w="415"/>
                  <w:vMerge/>
                  <w:tcBorders>
                    <w:top w:val="none" w:color="000000" w:sz="4"/>
                    <w:left w:val="none" w:color="000000" w:sz="4"/>
                    <w:bottom w:val="single" w:color="000000" w:sz="4"/>
                    <w:right w:val="single" w:color="000000" w:sz="4"/>
                  </w:tcBorders>
                </w:tcPr>
                <w:p/>
              </w:tc>
            </w:tr>
            <w:tr>
              <w:tc>
                <w:tcPr>
                  <w:tcW w:type="dxa" w:w="414"/>
                  <w:vMerge/>
                  <w:tcBorders>
                    <w:top w:val="none" w:color="000000" w:sz="4"/>
                    <w:left w:val="single" w:color="000000" w:sz="4"/>
                    <w:bottom w:val="single" w:color="000000" w:sz="4"/>
                    <w:right w:val="single" w:color="000000" w:sz="4"/>
                  </w:tcBorders>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遵遗嘱协助病人做康复锻炼</w:t>
                  </w:r>
                </w:p>
              </w:tc>
              <w:tc>
                <w:tcPr>
                  <w:tcW w:type="dxa" w:w="415"/>
                  <w:vMerge/>
                  <w:tcBorders>
                    <w:top w:val="none" w:color="000000" w:sz="4"/>
                    <w:left w:val="none" w:color="000000" w:sz="4"/>
                    <w:bottom w:val="single" w:color="000000" w:sz="4"/>
                    <w:right w:val="single" w:color="000000" w:sz="4"/>
                  </w:tcBorders>
                </w:tcPr>
                <w:p/>
              </w:tc>
            </w:tr>
            <w:tr>
              <w:tc>
                <w:tcPr>
                  <w:tcW w:type="dxa" w:w="4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辅助检查</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协助医护人员观察情况：发现病人发热，病情变化及输液异常等及时报告医生或者护士</w:t>
                  </w:r>
                </w:p>
              </w:tc>
              <w:tc>
                <w:tcPr>
                  <w:tcW w:type="dxa" w:w="415"/>
                  <w:vMerge/>
                  <w:tcBorders>
                    <w:top w:val="none" w:color="000000" w:sz="4"/>
                    <w:left w:val="none" w:color="000000" w:sz="4"/>
                    <w:bottom w:val="single" w:color="000000" w:sz="4"/>
                    <w:right w:val="single" w:color="000000" w:sz="4"/>
                  </w:tcBorders>
                </w:tcPr>
                <w:p/>
              </w:tc>
            </w:tr>
            <w:tr>
              <w:tc>
                <w:tcPr>
                  <w:tcW w:type="dxa" w:w="414"/>
                  <w:vMerge/>
                  <w:tcBorders>
                    <w:top w:val="none" w:color="000000" w:sz="4"/>
                    <w:left w:val="single" w:color="000000" w:sz="4"/>
                    <w:bottom w:val="single" w:color="000000" w:sz="4"/>
                    <w:right w:val="single" w:color="000000" w:sz="4"/>
                  </w:tcBorders>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协助医生护士进行各种检查：如</w:t>
                  </w:r>
                  <w:r>
                    <w:rPr>
                      <w:rFonts w:ascii="仿宋_GB2312" w:hAnsi="仿宋_GB2312" w:cs="仿宋_GB2312" w:eastAsia="仿宋_GB2312"/>
                      <w:sz w:val="21"/>
                    </w:rPr>
                    <w:t>CT</w:t>
                  </w:r>
                  <w:r>
                    <w:rPr>
                      <w:rFonts w:ascii="仿宋_GB2312" w:hAnsi="仿宋_GB2312" w:cs="仿宋_GB2312" w:eastAsia="仿宋_GB2312"/>
                      <w:sz w:val="21"/>
                    </w:rPr>
                    <w:t>、</w:t>
                  </w:r>
                  <w:r>
                    <w:rPr>
                      <w:rFonts w:ascii="仿宋_GB2312" w:hAnsi="仿宋_GB2312" w:cs="仿宋_GB2312" w:eastAsia="仿宋_GB2312"/>
                      <w:sz w:val="21"/>
                    </w:rPr>
                    <w:t>B</w:t>
                  </w:r>
                  <w:r>
                    <w:rPr>
                      <w:rFonts w:ascii="仿宋_GB2312" w:hAnsi="仿宋_GB2312" w:cs="仿宋_GB2312" w:eastAsia="仿宋_GB2312"/>
                      <w:sz w:val="21"/>
                    </w:rPr>
                    <w:t>超、心</w:t>
                  </w:r>
                  <w:r>
                    <w:rPr>
                      <w:rFonts w:ascii="仿宋_GB2312" w:hAnsi="仿宋_GB2312" w:cs="仿宋_GB2312" w:eastAsia="仿宋_GB2312"/>
                      <w:sz w:val="21"/>
                    </w:rPr>
                    <w:t>电</w:t>
                  </w:r>
                  <w:r>
                    <w:rPr>
                      <w:rFonts w:ascii="仿宋_GB2312" w:hAnsi="仿宋_GB2312" w:cs="仿宋_GB2312" w:eastAsia="仿宋_GB2312"/>
                      <w:sz w:val="21"/>
                    </w:rPr>
                    <w:t>图、拍片、核磁、肠胃镜等等</w:t>
                  </w:r>
                </w:p>
              </w:tc>
              <w:tc>
                <w:tcPr>
                  <w:tcW w:type="dxa" w:w="415"/>
                  <w:vMerge/>
                  <w:tcBorders>
                    <w:top w:val="none" w:color="000000" w:sz="4"/>
                    <w:left w:val="none" w:color="000000" w:sz="4"/>
                    <w:bottom w:val="single" w:color="000000" w:sz="4"/>
                    <w:right w:val="single" w:color="000000" w:sz="4"/>
                  </w:tcBorders>
                </w:tcPr>
                <w:p/>
              </w:tc>
            </w:tr>
            <w:tr>
              <w:tc>
                <w:tcPr>
                  <w:tcW w:type="dxa" w:w="414"/>
                  <w:vMerge/>
                  <w:tcBorders>
                    <w:top w:val="none" w:color="000000" w:sz="4"/>
                    <w:left w:val="single" w:color="000000" w:sz="4"/>
                    <w:bottom w:val="single" w:color="000000" w:sz="4"/>
                    <w:right w:val="single" w:color="000000" w:sz="4"/>
                  </w:tcBorders>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入院和出院等各种手续</w:t>
                  </w:r>
                </w:p>
              </w:tc>
              <w:tc>
                <w:tcPr>
                  <w:tcW w:type="dxa" w:w="415"/>
                  <w:vMerge/>
                  <w:tcBorders>
                    <w:top w:val="none" w:color="000000" w:sz="4"/>
                    <w:left w:val="none" w:color="000000" w:sz="4"/>
                    <w:bottom w:val="single" w:color="000000" w:sz="4"/>
                    <w:right w:val="single" w:color="000000" w:sz="4"/>
                  </w:tcBorders>
                </w:tcPr>
                <w:p/>
              </w:tc>
            </w:tr>
            <w:tr>
              <w:tc>
                <w:tcPr>
                  <w:tcW w:type="dxa" w:w="4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心理疏导</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保持良好的精神状态安抚情绪不好的患者</w:t>
                  </w:r>
                </w:p>
              </w:tc>
              <w:tc>
                <w:tcPr>
                  <w:tcW w:type="dxa" w:w="415"/>
                  <w:vMerge/>
                  <w:tcBorders>
                    <w:top w:val="none" w:color="000000" w:sz="4"/>
                    <w:left w:val="none" w:color="000000" w:sz="4"/>
                    <w:bottom w:val="single" w:color="000000" w:sz="4"/>
                    <w:right w:val="single" w:color="000000" w:sz="4"/>
                  </w:tcBorders>
                </w:tcPr>
                <w:p/>
              </w:tc>
            </w:tr>
            <w:tr>
              <w:tc>
                <w:tcPr>
                  <w:tcW w:type="dxa" w:w="414"/>
                  <w:vMerge/>
                  <w:tcBorders>
                    <w:top w:val="none" w:color="000000" w:sz="4"/>
                    <w:left w:val="single" w:color="000000" w:sz="4"/>
                    <w:bottom w:val="single" w:color="000000" w:sz="4"/>
                    <w:right w:val="single" w:color="000000" w:sz="4"/>
                  </w:tcBorders>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与家属、敬老院的工作人员、医生保持良好的沟通及配合帮助病人早日康复</w:t>
                  </w:r>
                </w:p>
              </w:tc>
              <w:tc>
                <w:tcPr>
                  <w:tcW w:type="dxa" w:w="415"/>
                  <w:vMerge/>
                  <w:tcBorders>
                    <w:top w:val="none" w:color="000000" w:sz="4"/>
                    <w:left w:val="none" w:color="000000" w:sz="4"/>
                    <w:bottom w:val="single" w:color="000000" w:sz="4"/>
                    <w:right w:val="single" w:color="000000" w:sz="4"/>
                  </w:tcBorders>
                </w:tcP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传染病护理</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按照医生的要求做好个人防护，对病人的用品进行严格消毒，防止交叉感染</w:t>
                  </w:r>
                </w:p>
              </w:tc>
              <w:tc>
                <w:tcPr>
                  <w:tcW w:type="dxa" w:w="415"/>
                  <w:vMerge/>
                  <w:tcBorders>
                    <w:top w:val="none" w:color="000000" w:sz="4"/>
                    <w:left w:val="none" w:color="000000" w:sz="4"/>
                    <w:bottom w:val="single" w:color="000000" w:sz="4"/>
                    <w:right w:val="single" w:color="000000" w:sz="4"/>
                  </w:tcBorders>
                </w:tcP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其他</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坚守岗位、尽职尽责、有事及时与患者敬老院的工作人员沟通</w:t>
                  </w:r>
                </w:p>
              </w:tc>
              <w:tc>
                <w:tcPr>
                  <w:tcW w:type="dxa" w:w="415"/>
                  <w:vMerge/>
                  <w:tcBorders>
                    <w:top w:val="none" w:color="000000" w:sz="4"/>
                    <w:left w:val="none" w:color="000000" w:sz="4"/>
                    <w:bottom w:val="single" w:color="000000" w:sz="4"/>
                    <w:right w:val="single" w:color="000000" w:sz="4"/>
                  </w:tcBorders>
                </w:tcPr>
                <w:p/>
              </w:tc>
            </w:tr>
          </w:tbl>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陪护要求：</w:t>
            </w:r>
            <w:r>
              <w:rPr>
                <w:rFonts w:ascii="仿宋_GB2312" w:hAnsi="仿宋_GB2312" w:cs="仿宋_GB2312" w:eastAsia="仿宋_GB2312"/>
                <w:sz w:val="21"/>
              </w:rPr>
              <w:t>24</w:t>
            </w:r>
            <w:r>
              <w:rPr>
                <w:rFonts w:ascii="仿宋_GB2312" w:hAnsi="仿宋_GB2312" w:cs="仿宋_GB2312" w:eastAsia="仿宋_GB2312"/>
                <w:sz w:val="21"/>
              </w:rPr>
              <w:t>小时一对一陪护。病人不能出现压疮，摔倒。在陪护过程中，要尊重病人的人格和尊严，不能有语言上的辱骂、贬低，或是肢体上的侮辱、鄙视行为。陪护的核心是给予病人关怀、理解和支持，耐心和包容才是陪护过程中最该秉持的态度。</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磋商报价要求：</w:t>
            </w:r>
            <w:r>
              <w:rPr>
                <w:rFonts w:ascii="仿宋_GB2312" w:hAnsi="仿宋_GB2312" w:cs="仿宋_GB2312" w:eastAsia="仿宋_GB2312"/>
                <w:sz w:val="21"/>
              </w:rPr>
              <w:t>本项目磋商总报价为全包制，服务期为</w:t>
            </w:r>
            <w:r>
              <w:rPr>
                <w:rFonts w:ascii="仿宋_GB2312" w:hAnsi="仿宋_GB2312" w:cs="仿宋_GB2312" w:eastAsia="仿宋_GB2312"/>
                <w:sz w:val="21"/>
              </w:rPr>
              <w:t>1</w:t>
            </w:r>
            <w:r>
              <w:rPr>
                <w:rFonts w:ascii="仿宋_GB2312" w:hAnsi="仿宋_GB2312" w:cs="仿宋_GB2312" w:eastAsia="仿宋_GB2312"/>
                <w:sz w:val="21"/>
              </w:rPr>
              <w:t>年，陪护人员单次（天）护理价不得超过下列表格中单次（天）护理价格，护理次数以采购人要求为准。</w:t>
            </w:r>
          </w:p>
          <w:tbl>
            <w:tblPr>
              <w:tblBorders>
                <w:top w:val="none" w:color="000000" w:sz="4"/>
                <w:left w:val="none" w:color="000000" w:sz="4"/>
                <w:bottom w:val="none" w:color="000000" w:sz="4"/>
                <w:right w:val="none" w:color="000000" w:sz="4"/>
                <w:insideH w:val="none"/>
                <w:insideV w:val="none"/>
              </w:tblBorders>
            </w:tblPr>
            <w:tblGrid>
              <w:gridCol w:w="370"/>
              <w:gridCol w:w="219"/>
              <w:gridCol w:w="319"/>
              <w:gridCol w:w="175"/>
              <w:gridCol w:w="251"/>
              <w:gridCol w:w="225"/>
              <w:gridCol w:w="583"/>
              <w:gridCol w:w="411"/>
            </w:tblGrid>
            <w:tr>
              <w:tc>
                <w:tcPr>
                  <w:tcW w:type="dxa" w:w="3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类别</w:t>
                  </w:r>
                </w:p>
              </w:tc>
              <w:tc>
                <w:tcPr>
                  <w:tcW w:type="dxa" w:w="2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项目名称</w:t>
                  </w:r>
                </w:p>
              </w:tc>
              <w:tc>
                <w:tcPr>
                  <w:tcW w:type="dxa" w:w="1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5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金额（小写）元</w:t>
                  </w:r>
                  <w:r>
                    <w:rPr>
                      <w:rFonts w:ascii="仿宋_GB2312" w:hAnsi="仿宋_GB2312" w:cs="仿宋_GB2312" w:eastAsia="仿宋_GB2312"/>
                      <w:sz w:val="21"/>
                    </w:rPr>
                    <w:t>/</w:t>
                  </w:r>
                  <w:r>
                    <w:rPr>
                      <w:rFonts w:ascii="仿宋_GB2312" w:hAnsi="仿宋_GB2312" w:cs="仿宋_GB2312" w:eastAsia="仿宋_GB2312"/>
                      <w:sz w:val="21"/>
                    </w:rPr>
                    <w:t>天</w:t>
                  </w:r>
                </w:p>
              </w:tc>
              <w:tc>
                <w:tcPr>
                  <w:tcW w:type="dxa" w:w="4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医院陪护</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住院</w:t>
                  </w:r>
                  <w:r>
                    <w:rPr>
                      <w:rFonts w:ascii="仿宋_GB2312" w:hAnsi="仿宋_GB2312" w:cs="仿宋_GB2312" w:eastAsia="仿宋_GB2312"/>
                      <w:sz w:val="21"/>
                    </w:rPr>
                    <w:t>病人陪护</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天</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0.00</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r>
                    <w:rPr>
                      <w:rFonts w:ascii="仿宋_GB2312" w:hAnsi="仿宋_GB2312" w:cs="仿宋_GB2312" w:eastAsia="仿宋_GB2312"/>
                      <w:sz w:val="21"/>
                    </w:rPr>
                    <w:t>小时，一对一陪护</w:t>
                  </w:r>
                </w:p>
              </w:tc>
            </w:tr>
          </w:tbl>
          <w:p>
            <w:pPr>
              <w:pStyle w:val="null3"/>
              <w:jc w:val="both"/>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标的名称：汉中市南郑区中心敬老院院民住院治疗照料护理陪护项目（2包）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护理服务标准与要求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）、协助住院老人做好个人卫生，及时剪指（趾）甲、理发剃须；有条件的地方，至少每周洗澡</w:t>
            </w:r>
            <w:r>
              <w:rPr>
                <w:rFonts w:ascii="仿宋_GB2312" w:hAnsi="仿宋_GB2312" w:cs="仿宋_GB2312" w:eastAsia="仿宋_GB2312"/>
                <w:sz w:val="21"/>
              </w:rPr>
              <w:t>1</w:t>
            </w:r>
            <w:r>
              <w:rPr>
                <w:rFonts w:ascii="仿宋_GB2312" w:hAnsi="仿宋_GB2312" w:cs="仿宋_GB2312" w:eastAsia="仿宋_GB2312"/>
                <w:sz w:val="21"/>
              </w:rPr>
              <w:t>次，夏季要适时增加洗澡次数。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）、协助老人按照医院要求做好床铺卫生，保持床铺清洁，必要时及时更换、晾晒被褥。</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）、做好老人住院期间的生活照护、住（出）院手续办理等工作；当病情严重或有异常情况时，及时与老人所属敬老院机构负责人进行联系。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）、特困人员有需求时，在符合医院管理规定或经所属敬老院负责人同意后为其代购日常用品和药品等。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）、及时了解掌握老人住院期间思想、心理变化，发现异常情况，及时向报告老人所属敬老院负责人和公司负责人进行汇报。</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）、建立健全老人住院期间生活照护服务工作台账，敬老院采取定期和不定期的方式进行实地走访，检查老人住院的生活照料服务情况。</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）、协助住院老人按时用餐、饮水、用药等，必要时提供临终关怀服务。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）、及时为老人洗头、剪指（趾）甲、理发、剃须、洗澡或擦身，夏季气候炎热时，应适当增加洗澡或擦身次数。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）、对长期卧床、不能自主翻身的老人及时翻身，变换卧位，检查皮肤受压情况，防止褥疮发生。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）、帮助老人人员如厕，对大小便失禁或卧床不起的老人，做到勤查看、勤换尿布、勤擦洗下身、勤更换衣被，保持特困人员清洁、无异味。</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）、为住院老人提供简单、有针对性的康复指导。视天气情况及老人身体状况，搀扶或推轮椅到户外活动或接受光照。</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）、协助住院老人完成亲属的探视探望。</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）、住院陪护期间需防止老人意外走失。</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）、服务人员不得超过</w:t>
            </w:r>
            <w:r>
              <w:rPr>
                <w:rFonts w:ascii="仿宋_GB2312" w:hAnsi="仿宋_GB2312" w:cs="仿宋_GB2312" w:eastAsia="仿宋_GB2312"/>
                <w:sz w:val="21"/>
              </w:rPr>
              <w:t>60</w:t>
            </w:r>
            <w:r>
              <w:rPr>
                <w:rFonts w:ascii="仿宋_GB2312" w:hAnsi="仿宋_GB2312" w:cs="仿宋_GB2312" w:eastAsia="仿宋_GB2312"/>
                <w:sz w:val="21"/>
              </w:rPr>
              <w:t>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）、院民在医院住院期间一切的安全责任应由护理公司承担。</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14"/>
              <w:gridCol w:w="1724"/>
              <w:gridCol w:w="415"/>
            </w:tblGrid>
            <w:tr>
              <w:tc>
                <w:tcPr>
                  <w:tcW w:type="dxa" w:w="2553"/>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护理内容及要求</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项目</w:t>
                  </w:r>
                </w:p>
              </w:tc>
              <w:tc>
                <w:tcPr>
                  <w:tcW w:type="dxa" w:w="17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内容</w:t>
                  </w:r>
                </w:p>
              </w:tc>
              <w:tc>
                <w:tcPr>
                  <w:tcW w:type="dxa" w:w="4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备注</w:t>
                  </w:r>
                </w:p>
              </w:tc>
            </w:tr>
            <w:tr>
              <w:tc>
                <w:tcPr>
                  <w:tcW w:type="dxa" w:w="4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个人卫生</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洗脸、洗脚</w:t>
                  </w:r>
                </w:p>
              </w:tc>
              <w:tc>
                <w:tcPr>
                  <w:tcW w:type="dxa" w:w="4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均为</w:t>
                  </w:r>
                  <w:r>
                    <w:rPr>
                      <w:rFonts w:ascii="仿宋_GB2312" w:hAnsi="仿宋_GB2312" w:cs="仿宋_GB2312" w:eastAsia="仿宋_GB2312"/>
                      <w:sz w:val="21"/>
                    </w:rPr>
                    <w:t>24</w:t>
                  </w:r>
                  <w:r>
                    <w:rPr>
                      <w:rFonts w:ascii="仿宋_GB2312" w:hAnsi="仿宋_GB2312" w:cs="仿宋_GB2312" w:eastAsia="仿宋_GB2312"/>
                      <w:sz w:val="21"/>
                    </w:rPr>
                    <w:t>小时服务</w:t>
                  </w:r>
                </w:p>
              </w:tc>
            </w:tr>
            <w:tr>
              <w:tc>
                <w:tcPr>
                  <w:tcW w:type="dxa" w:w="414"/>
                  <w:vMerge/>
                  <w:tcBorders>
                    <w:top w:val="none" w:color="000000" w:sz="4"/>
                    <w:left w:val="single" w:color="000000" w:sz="4"/>
                    <w:bottom w:val="single" w:color="000000" w:sz="4"/>
                    <w:right w:val="single" w:color="000000" w:sz="4"/>
                  </w:tcBorders>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洗头、梳头</w:t>
                  </w:r>
                </w:p>
              </w:tc>
              <w:tc>
                <w:tcPr>
                  <w:tcW w:type="dxa" w:w="415"/>
                  <w:vMerge/>
                  <w:tcBorders>
                    <w:top w:val="none" w:color="000000" w:sz="4"/>
                    <w:left w:val="none" w:color="000000" w:sz="4"/>
                    <w:bottom w:val="single" w:color="000000" w:sz="4"/>
                    <w:right w:val="single" w:color="000000" w:sz="4"/>
                  </w:tcBorders>
                </w:tcPr>
                <w:p/>
              </w:tc>
            </w:tr>
            <w:tr>
              <w:tc>
                <w:tcPr>
                  <w:tcW w:type="dxa" w:w="414"/>
                  <w:vMerge/>
                  <w:tcBorders>
                    <w:top w:val="none" w:color="000000" w:sz="4"/>
                    <w:left w:val="single" w:color="000000" w:sz="4"/>
                    <w:bottom w:val="single" w:color="000000" w:sz="4"/>
                    <w:right w:val="single" w:color="000000" w:sz="4"/>
                  </w:tcBorders>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卧床病人早晚擦身</w:t>
                  </w:r>
                </w:p>
              </w:tc>
              <w:tc>
                <w:tcPr>
                  <w:tcW w:type="dxa" w:w="415"/>
                  <w:vMerge/>
                  <w:tcBorders>
                    <w:top w:val="none" w:color="000000" w:sz="4"/>
                    <w:left w:val="none" w:color="000000" w:sz="4"/>
                    <w:bottom w:val="single" w:color="000000" w:sz="4"/>
                    <w:right w:val="single" w:color="000000" w:sz="4"/>
                  </w:tcBorders>
                </w:tcPr>
                <w:p/>
              </w:tc>
            </w:tr>
            <w:tr>
              <w:tc>
                <w:tcPr>
                  <w:tcW w:type="dxa" w:w="414"/>
                  <w:vMerge/>
                  <w:tcBorders>
                    <w:top w:val="none" w:color="000000" w:sz="4"/>
                    <w:left w:val="single" w:color="000000" w:sz="4"/>
                    <w:bottom w:val="single" w:color="000000" w:sz="4"/>
                    <w:right w:val="single" w:color="000000" w:sz="4"/>
                  </w:tcBorders>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漱口假牙护理</w:t>
                  </w:r>
                </w:p>
              </w:tc>
              <w:tc>
                <w:tcPr>
                  <w:tcW w:type="dxa" w:w="415"/>
                  <w:vMerge/>
                  <w:tcBorders>
                    <w:top w:val="none" w:color="000000" w:sz="4"/>
                    <w:left w:val="none" w:color="000000" w:sz="4"/>
                    <w:bottom w:val="single" w:color="000000" w:sz="4"/>
                    <w:right w:val="single" w:color="000000" w:sz="4"/>
                  </w:tcBorders>
                </w:tcPr>
                <w:p/>
              </w:tc>
            </w:tr>
            <w:tr>
              <w:tc>
                <w:tcPr>
                  <w:tcW w:type="dxa" w:w="414"/>
                  <w:vMerge/>
                  <w:tcBorders>
                    <w:top w:val="none" w:color="000000" w:sz="4"/>
                    <w:left w:val="single" w:color="000000" w:sz="4"/>
                    <w:bottom w:val="single" w:color="000000" w:sz="4"/>
                    <w:right w:val="single" w:color="000000" w:sz="4"/>
                  </w:tcBorders>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洗澡更换干净被服</w:t>
                  </w:r>
                </w:p>
              </w:tc>
              <w:tc>
                <w:tcPr>
                  <w:tcW w:type="dxa" w:w="415"/>
                  <w:vMerge/>
                  <w:tcBorders>
                    <w:top w:val="none" w:color="000000" w:sz="4"/>
                    <w:left w:val="none" w:color="000000" w:sz="4"/>
                    <w:bottom w:val="single" w:color="000000" w:sz="4"/>
                    <w:right w:val="single" w:color="000000" w:sz="4"/>
                  </w:tcBorders>
                </w:tcPr>
                <w:p/>
              </w:tc>
            </w:tr>
            <w:tr>
              <w:tc>
                <w:tcPr>
                  <w:tcW w:type="dxa" w:w="414"/>
                  <w:vMerge/>
                  <w:tcBorders>
                    <w:top w:val="none" w:color="000000" w:sz="4"/>
                    <w:left w:val="single" w:color="000000" w:sz="4"/>
                    <w:bottom w:val="single" w:color="000000" w:sz="4"/>
                    <w:right w:val="single" w:color="000000" w:sz="4"/>
                  </w:tcBorders>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协助大小便、清倒便盆</w:t>
                  </w:r>
                </w:p>
              </w:tc>
              <w:tc>
                <w:tcPr>
                  <w:tcW w:type="dxa" w:w="415"/>
                  <w:vMerge/>
                  <w:tcBorders>
                    <w:top w:val="none" w:color="000000" w:sz="4"/>
                    <w:left w:val="none" w:color="000000" w:sz="4"/>
                    <w:bottom w:val="single" w:color="000000" w:sz="4"/>
                    <w:right w:val="single" w:color="000000" w:sz="4"/>
                  </w:tcBorders>
                </w:tcPr>
                <w:p/>
              </w:tc>
            </w:tr>
            <w:tr>
              <w:tc>
                <w:tcPr>
                  <w:tcW w:type="dxa" w:w="414"/>
                  <w:vMerge/>
                  <w:tcBorders>
                    <w:top w:val="none" w:color="000000" w:sz="4"/>
                    <w:left w:val="single" w:color="000000" w:sz="4"/>
                    <w:bottom w:val="single" w:color="000000" w:sz="4"/>
                    <w:right w:val="single" w:color="000000" w:sz="4"/>
                  </w:tcBorders>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及时清理失禁的大小便</w:t>
                  </w:r>
                </w:p>
              </w:tc>
              <w:tc>
                <w:tcPr>
                  <w:tcW w:type="dxa" w:w="415"/>
                  <w:vMerge/>
                  <w:tcBorders>
                    <w:top w:val="none" w:color="000000" w:sz="4"/>
                    <w:left w:val="none" w:color="000000" w:sz="4"/>
                    <w:bottom w:val="single" w:color="000000" w:sz="4"/>
                    <w:right w:val="single" w:color="000000" w:sz="4"/>
                  </w:tcBorders>
                </w:tcPr>
                <w:p/>
              </w:tc>
            </w:tr>
            <w:tr>
              <w:tc>
                <w:tcPr>
                  <w:tcW w:type="dxa" w:w="414"/>
                  <w:vMerge/>
                  <w:tcBorders>
                    <w:top w:val="none" w:color="000000" w:sz="4"/>
                    <w:left w:val="single" w:color="000000" w:sz="4"/>
                    <w:bottom w:val="single" w:color="000000" w:sz="4"/>
                    <w:right w:val="single" w:color="000000" w:sz="4"/>
                  </w:tcBorders>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对褥疮患者，遵遗嘱按时翻身，保持创面清洁，干爽</w:t>
                  </w:r>
                </w:p>
              </w:tc>
              <w:tc>
                <w:tcPr>
                  <w:tcW w:type="dxa" w:w="415"/>
                  <w:vMerge/>
                  <w:tcBorders>
                    <w:top w:val="none" w:color="000000" w:sz="4"/>
                    <w:left w:val="none" w:color="000000" w:sz="4"/>
                    <w:bottom w:val="single" w:color="000000" w:sz="4"/>
                    <w:right w:val="single" w:color="000000" w:sz="4"/>
                  </w:tcBorders>
                </w:tcPr>
                <w:p/>
              </w:tc>
            </w:tr>
            <w:tr>
              <w:tc>
                <w:tcPr>
                  <w:tcW w:type="dxa" w:w="414"/>
                  <w:vMerge/>
                  <w:tcBorders>
                    <w:top w:val="none" w:color="000000" w:sz="4"/>
                    <w:left w:val="single" w:color="000000" w:sz="4"/>
                    <w:bottom w:val="single" w:color="000000" w:sz="4"/>
                    <w:right w:val="single" w:color="000000" w:sz="4"/>
                  </w:tcBorders>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及时更换床单被服保持衣物床单干净整洁</w:t>
                  </w:r>
                </w:p>
              </w:tc>
              <w:tc>
                <w:tcPr>
                  <w:tcW w:type="dxa" w:w="415"/>
                  <w:vMerge/>
                  <w:tcBorders>
                    <w:top w:val="none" w:color="000000" w:sz="4"/>
                    <w:left w:val="none" w:color="000000" w:sz="4"/>
                    <w:bottom w:val="single" w:color="000000" w:sz="4"/>
                    <w:right w:val="single" w:color="000000" w:sz="4"/>
                  </w:tcBorders>
                </w:tcPr>
                <w:p/>
              </w:tc>
            </w:tr>
            <w:tr>
              <w:tc>
                <w:tcPr>
                  <w:tcW w:type="dxa" w:w="414"/>
                  <w:vMerge/>
                  <w:tcBorders>
                    <w:top w:val="none" w:color="000000" w:sz="4"/>
                    <w:left w:val="single" w:color="000000" w:sz="4"/>
                    <w:bottom w:val="single" w:color="000000" w:sz="4"/>
                    <w:right w:val="single" w:color="000000" w:sz="4"/>
                  </w:tcBorders>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及时剪趾（指）甲、剃胡须</w:t>
                  </w:r>
                </w:p>
              </w:tc>
              <w:tc>
                <w:tcPr>
                  <w:tcW w:type="dxa" w:w="415"/>
                  <w:vMerge/>
                  <w:tcBorders>
                    <w:top w:val="none" w:color="000000" w:sz="4"/>
                    <w:left w:val="none" w:color="000000" w:sz="4"/>
                    <w:bottom w:val="single" w:color="000000" w:sz="4"/>
                    <w:right w:val="single" w:color="000000" w:sz="4"/>
                  </w:tcBorders>
                </w:tcPr>
                <w:p/>
              </w:tc>
            </w:tr>
            <w:tr>
              <w:tc>
                <w:tcPr>
                  <w:tcW w:type="dxa" w:w="4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三餐护理</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喂饭水</w:t>
                  </w:r>
                </w:p>
              </w:tc>
              <w:tc>
                <w:tcPr>
                  <w:tcW w:type="dxa" w:w="415"/>
                  <w:vMerge/>
                  <w:tcBorders>
                    <w:top w:val="none" w:color="000000" w:sz="4"/>
                    <w:left w:val="none" w:color="000000" w:sz="4"/>
                    <w:bottom w:val="single" w:color="000000" w:sz="4"/>
                    <w:right w:val="single" w:color="000000" w:sz="4"/>
                  </w:tcBorders>
                </w:tcPr>
                <w:p/>
              </w:tc>
            </w:tr>
            <w:tr>
              <w:tc>
                <w:tcPr>
                  <w:tcW w:type="dxa" w:w="414"/>
                  <w:vMerge/>
                  <w:tcBorders>
                    <w:top w:val="none" w:color="000000" w:sz="4"/>
                    <w:left w:val="single" w:color="000000" w:sz="4"/>
                    <w:bottom w:val="single" w:color="000000" w:sz="4"/>
                    <w:right w:val="single" w:color="000000" w:sz="4"/>
                  </w:tcBorders>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清洗病人碗筷并放置在规定位置</w:t>
                  </w:r>
                </w:p>
              </w:tc>
              <w:tc>
                <w:tcPr>
                  <w:tcW w:type="dxa" w:w="415"/>
                  <w:vMerge/>
                  <w:tcBorders>
                    <w:top w:val="none" w:color="000000" w:sz="4"/>
                    <w:left w:val="none" w:color="000000" w:sz="4"/>
                    <w:bottom w:val="single" w:color="000000" w:sz="4"/>
                    <w:right w:val="single" w:color="000000" w:sz="4"/>
                  </w:tcBorders>
                </w:tcPr>
                <w:p/>
              </w:tc>
            </w:tr>
            <w:tr>
              <w:tc>
                <w:tcPr>
                  <w:tcW w:type="dxa" w:w="4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安全护理</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协助坐轮椅病人摆放体位及活动关节</w:t>
                  </w:r>
                </w:p>
              </w:tc>
              <w:tc>
                <w:tcPr>
                  <w:tcW w:type="dxa" w:w="415"/>
                  <w:vMerge/>
                  <w:tcBorders>
                    <w:top w:val="none" w:color="000000" w:sz="4"/>
                    <w:left w:val="none" w:color="000000" w:sz="4"/>
                    <w:bottom w:val="single" w:color="000000" w:sz="4"/>
                    <w:right w:val="single" w:color="000000" w:sz="4"/>
                  </w:tcBorders>
                </w:tcPr>
                <w:p/>
              </w:tc>
            </w:tr>
            <w:tr>
              <w:tc>
                <w:tcPr>
                  <w:tcW w:type="dxa" w:w="414"/>
                  <w:vMerge/>
                  <w:tcBorders>
                    <w:top w:val="none" w:color="000000" w:sz="4"/>
                    <w:left w:val="single" w:color="000000" w:sz="4"/>
                    <w:bottom w:val="single" w:color="000000" w:sz="4"/>
                    <w:right w:val="single" w:color="000000" w:sz="4"/>
                  </w:tcBorders>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协助病人舒适并缓解焦虑</w:t>
                  </w:r>
                </w:p>
              </w:tc>
              <w:tc>
                <w:tcPr>
                  <w:tcW w:type="dxa" w:w="415"/>
                  <w:vMerge/>
                  <w:tcBorders>
                    <w:top w:val="none" w:color="000000" w:sz="4"/>
                    <w:left w:val="none" w:color="000000" w:sz="4"/>
                    <w:bottom w:val="single" w:color="000000" w:sz="4"/>
                    <w:right w:val="single" w:color="000000" w:sz="4"/>
                  </w:tcBorders>
                </w:tcPr>
                <w:p/>
              </w:tc>
            </w:tr>
            <w:tr>
              <w:tc>
                <w:tcPr>
                  <w:tcW w:type="dxa" w:w="414"/>
                  <w:vMerge/>
                  <w:tcBorders>
                    <w:top w:val="none" w:color="000000" w:sz="4"/>
                    <w:left w:val="single" w:color="000000" w:sz="4"/>
                    <w:bottom w:val="single" w:color="000000" w:sz="4"/>
                    <w:right w:val="single" w:color="000000" w:sz="4"/>
                  </w:tcBorders>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协助病人如厕</w:t>
                  </w:r>
                </w:p>
              </w:tc>
              <w:tc>
                <w:tcPr>
                  <w:tcW w:type="dxa" w:w="415"/>
                  <w:vMerge/>
                  <w:tcBorders>
                    <w:top w:val="none" w:color="000000" w:sz="4"/>
                    <w:left w:val="none" w:color="000000" w:sz="4"/>
                    <w:bottom w:val="single" w:color="000000" w:sz="4"/>
                    <w:right w:val="single" w:color="000000" w:sz="4"/>
                  </w:tcBorders>
                </w:tcPr>
                <w:p/>
              </w:tc>
            </w:tr>
            <w:tr>
              <w:tc>
                <w:tcPr>
                  <w:tcW w:type="dxa" w:w="414"/>
                  <w:vMerge/>
                  <w:tcBorders>
                    <w:top w:val="none" w:color="000000" w:sz="4"/>
                    <w:left w:val="single" w:color="000000" w:sz="4"/>
                    <w:bottom w:val="single" w:color="000000" w:sz="4"/>
                    <w:right w:val="single" w:color="000000" w:sz="4"/>
                  </w:tcBorders>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遵遗嘱协助病人做康复锻炼</w:t>
                  </w:r>
                </w:p>
              </w:tc>
              <w:tc>
                <w:tcPr>
                  <w:tcW w:type="dxa" w:w="415"/>
                  <w:vMerge/>
                  <w:tcBorders>
                    <w:top w:val="none" w:color="000000" w:sz="4"/>
                    <w:left w:val="none" w:color="000000" w:sz="4"/>
                    <w:bottom w:val="single" w:color="000000" w:sz="4"/>
                    <w:right w:val="single" w:color="000000" w:sz="4"/>
                  </w:tcBorders>
                </w:tcPr>
                <w:p/>
              </w:tc>
            </w:tr>
            <w:tr>
              <w:tc>
                <w:tcPr>
                  <w:tcW w:type="dxa" w:w="4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辅助检查</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协助医护人员观察情况：发现病人发热，病情变化及输液异常等及时报告医生或者护士</w:t>
                  </w:r>
                </w:p>
              </w:tc>
              <w:tc>
                <w:tcPr>
                  <w:tcW w:type="dxa" w:w="415"/>
                  <w:vMerge/>
                  <w:tcBorders>
                    <w:top w:val="none" w:color="000000" w:sz="4"/>
                    <w:left w:val="none" w:color="000000" w:sz="4"/>
                    <w:bottom w:val="single" w:color="000000" w:sz="4"/>
                    <w:right w:val="single" w:color="000000" w:sz="4"/>
                  </w:tcBorders>
                </w:tcPr>
                <w:p/>
              </w:tc>
            </w:tr>
            <w:tr>
              <w:tc>
                <w:tcPr>
                  <w:tcW w:type="dxa" w:w="414"/>
                  <w:vMerge/>
                  <w:tcBorders>
                    <w:top w:val="none" w:color="000000" w:sz="4"/>
                    <w:left w:val="single" w:color="000000" w:sz="4"/>
                    <w:bottom w:val="single" w:color="000000" w:sz="4"/>
                    <w:right w:val="single" w:color="000000" w:sz="4"/>
                  </w:tcBorders>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协助医生护士进行各种检查：如</w:t>
                  </w:r>
                  <w:r>
                    <w:rPr>
                      <w:rFonts w:ascii="仿宋_GB2312" w:hAnsi="仿宋_GB2312" w:cs="仿宋_GB2312" w:eastAsia="仿宋_GB2312"/>
                      <w:sz w:val="21"/>
                    </w:rPr>
                    <w:t>CT</w:t>
                  </w:r>
                  <w:r>
                    <w:rPr>
                      <w:rFonts w:ascii="仿宋_GB2312" w:hAnsi="仿宋_GB2312" w:cs="仿宋_GB2312" w:eastAsia="仿宋_GB2312"/>
                      <w:sz w:val="21"/>
                    </w:rPr>
                    <w:t>、</w:t>
                  </w:r>
                  <w:r>
                    <w:rPr>
                      <w:rFonts w:ascii="仿宋_GB2312" w:hAnsi="仿宋_GB2312" w:cs="仿宋_GB2312" w:eastAsia="仿宋_GB2312"/>
                      <w:sz w:val="21"/>
                    </w:rPr>
                    <w:t>B</w:t>
                  </w:r>
                  <w:r>
                    <w:rPr>
                      <w:rFonts w:ascii="仿宋_GB2312" w:hAnsi="仿宋_GB2312" w:cs="仿宋_GB2312" w:eastAsia="仿宋_GB2312"/>
                      <w:sz w:val="21"/>
                    </w:rPr>
                    <w:t>超、心</w:t>
                  </w:r>
                  <w:r>
                    <w:rPr>
                      <w:rFonts w:ascii="仿宋_GB2312" w:hAnsi="仿宋_GB2312" w:cs="仿宋_GB2312" w:eastAsia="仿宋_GB2312"/>
                      <w:sz w:val="21"/>
                    </w:rPr>
                    <w:t>电</w:t>
                  </w:r>
                  <w:r>
                    <w:rPr>
                      <w:rFonts w:ascii="仿宋_GB2312" w:hAnsi="仿宋_GB2312" w:cs="仿宋_GB2312" w:eastAsia="仿宋_GB2312"/>
                      <w:sz w:val="21"/>
                    </w:rPr>
                    <w:t>图、拍片、核磁、肠胃镜等等</w:t>
                  </w:r>
                </w:p>
              </w:tc>
              <w:tc>
                <w:tcPr>
                  <w:tcW w:type="dxa" w:w="415"/>
                  <w:vMerge/>
                  <w:tcBorders>
                    <w:top w:val="none" w:color="000000" w:sz="4"/>
                    <w:left w:val="none" w:color="000000" w:sz="4"/>
                    <w:bottom w:val="single" w:color="000000" w:sz="4"/>
                    <w:right w:val="single" w:color="000000" w:sz="4"/>
                  </w:tcBorders>
                </w:tcPr>
                <w:p/>
              </w:tc>
            </w:tr>
            <w:tr>
              <w:tc>
                <w:tcPr>
                  <w:tcW w:type="dxa" w:w="414"/>
                  <w:vMerge/>
                  <w:tcBorders>
                    <w:top w:val="none" w:color="000000" w:sz="4"/>
                    <w:left w:val="single" w:color="000000" w:sz="4"/>
                    <w:bottom w:val="single" w:color="000000" w:sz="4"/>
                    <w:right w:val="single" w:color="000000" w:sz="4"/>
                  </w:tcBorders>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入院和出院等各种手续</w:t>
                  </w:r>
                </w:p>
              </w:tc>
              <w:tc>
                <w:tcPr>
                  <w:tcW w:type="dxa" w:w="415"/>
                  <w:vMerge/>
                  <w:tcBorders>
                    <w:top w:val="none" w:color="000000" w:sz="4"/>
                    <w:left w:val="none" w:color="000000" w:sz="4"/>
                    <w:bottom w:val="single" w:color="000000" w:sz="4"/>
                    <w:right w:val="single" w:color="000000" w:sz="4"/>
                  </w:tcBorders>
                </w:tcPr>
                <w:p/>
              </w:tc>
            </w:tr>
            <w:tr>
              <w:tc>
                <w:tcPr>
                  <w:tcW w:type="dxa" w:w="4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心理疏导</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保持良好的精神状态安抚情绪不好的患者</w:t>
                  </w:r>
                </w:p>
              </w:tc>
              <w:tc>
                <w:tcPr>
                  <w:tcW w:type="dxa" w:w="415"/>
                  <w:vMerge/>
                  <w:tcBorders>
                    <w:top w:val="none" w:color="000000" w:sz="4"/>
                    <w:left w:val="none" w:color="000000" w:sz="4"/>
                    <w:bottom w:val="single" w:color="000000" w:sz="4"/>
                    <w:right w:val="single" w:color="000000" w:sz="4"/>
                  </w:tcBorders>
                </w:tcPr>
                <w:p/>
              </w:tc>
            </w:tr>
            <w:tr>
              <w:tc>
                <w:tcPr>
                  <w:tcW w:type="dxa" w:w="414"/>
                  <w:vMerge/>
                  <w:tcBorders>
                    <w:top w:val="none" w:color="000000" w:sz="4"/>
                    <w:left w:val="single" w:color="000000" w:sz="4"/>
                    <w:bottom w:val="single" w:color="000000" w:sz="4"/>
                    <w:right w:val="single" w:color="000000" w:sz="4"/>
                  </w:tcBorders>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与家属、敬老院的工作人员、医生保持良好的沟通及配合帮助病人早日康复</w:t>
                  </w:r>
                </w:p>
              </w:tc>
              <w:tc>
                <w:tcPr>
                  <w:tcW w:type="dxa" w:w="415"/>
                  <w:vMerge/>
                  <w:tcBorders>
                    <w:top w:val="none" w:color="000000" w:sz="4"/>
                    <w:left w:val="none" w:color="000000" w:sz="4"/>
                    <w:bottom w:val="single" w:color="000000" w:sz="4"/>
                    <w:right w:val="single" w:color="000000" w:sz="4"/>
                  </w:tcBorders>
                </w:tcP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传染病护理</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按照医生的要求做好个人防护，对病人的用品进行严格消毒，防止交叉感染</w:t>
                  </w:r>
                </w:p>
              </w:tc>
              <w:tc>
                <w:tcPr>
                  <w:tcW w:type="dxa" w:w="415"/>
                  <w:vMerge/>
                  <w:tcBorders>
                    <w:top w:val="none" w:color="000000" w:sz="4"/>
                    <w:left w:val="none" w:color="000000" w:sz="4"/>
                    <w:bottom w:val="single" w:color="000000" w:sz="4"/>
                    <w:right w:val="single" w:color="000000" w:sz="4"/>
                  </w:tcBorders>
                </w:tcP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其他</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坚守岗位、尽职尽责、有事及时与患者敬老院的工作人员沟通</w:t>
                  </w:r>
                </w:p>
              </w:tc>
              <w:tc>
                <w:tcPr>
                  <w:tcW w:type="dxa" w:w="415"/>
                  <w:vMerge/>
                  <w:tcBorders>
                    <w:top w:val="none" w:color="000000" w:sz="4"/>
                    <w:left w:val="none" w:color="000000" w:sz="4"/>
                    <w:bottom w:val="single" w:color="000000" w:sz="4"/>
                    <w:right w:val="single" w:color="000000" w:sz="4"/>
                  </w:tcBorders>
                </w:tcPr>
                <w:p/>
              </w:tc>
            </w:tr>
          </w:tbl>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陪护要求：</w:t>
            </w:r>
            <w:r>
              <w:rPr>
                <w:rFonts w:ascii="仿宋_GB2312" w:hAnsi="仿宋_GB2312" w:cs="仿宋_GB2312" w:eastAsia="仿宋_GB2312"/>
                <w:sz w:val="21"/>
              </w:rPr>
              <w:t>24</w:t>
            </w:r>
            <w:r>
              <w:rPr>
                <w:rFonts w:ascii="仿宋_GB2312" w:hAnsi="仿宋_GB2312" w:cs="仿宋_GB2312" w:eastAsia="仿宋_GB2312"/>
                <w:sz w:val="21"/>
              </w:rPr>
              <w:t>小时一对一陪护。病人不能出现压疮，摔倒。在陪护过程中，要尊重病人的人格和尊严，不能有语言上的辱骂、贬低，或是肢体上的侮辱、鄙视行为。陪护的核心是给予病人关怀、理解和支持，耐心和包容才是陪护过程中最该秉持的态度。</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磋商报价要求：</w:t>
            </w:r>
            <w:r>
              <w:rPr>
                <w:rFonts w:ascii="仿宋_GB2312" w:hAnsi="仿宋_GB2312" w:cs="仿宋_GB2312" w:eastAsia="仿宋_GB2312"/>
                <w:sz w:val="21"/>
              </w:rPr>
              <w:t>本项目磋商总报价为全包制，服务期为</w:t>
            </w:r>
            <w:r>
              <w:rPr>
                <w:rFonts w:ascii="仿宋_GB2312" w:hAnsi="仿宋_GB2312" w:cs="仿宋_GB2312" w:eastAsia="仿宋_GB2312"/>
                <w:sz w:val="21"/>
              </w:rPr>
              <w:t>1</w:t>
            </w:r>
            <w:r>
              <w:rPr>
                <w:rFonts w:ascii="仿宋_GB2312" w:hAnsi="仿宋_GB2312" w:cs="仿宋_GB2312" w:eastAsia="仿宋_GB2312"/>
                <w:sz w:val="21"/>
              </w:rPr>
              <w:t>年，陪护人员单次（天）护理价不得超过下列表格中单次（天）护理价格，护理次数以采购人要求为准。</w:t>
            </w:r>
          </w:p>
          <w:tbl>
            <w:tblPr>
              <w:tblBorders>
                <w:top w:val="none" w:color="000000" w:sz="4"/>
                <w:left w:val="none" w:color="000000" w:sz="4"/>
                <w:bottom w:val="none" w:color="000000" w:sz="4"/>
                <w:right w:val="none" w:color="000000" w:sz="4"/>
                <w:insideH w:val="none"/>
                <w:insideV w:val="none"/>
              </w:tblBorders>
            </w:tblPr>
            <w:tblGrid>
              <w:gridCol w:w="370"/>
              <w:gridCol w:w="219"/>
              <w:gridCol w:w="319"/>
              <w:gridCol w:w="175"/>
              <w:gridCol w:w="251"/>
              <w:gridCol w:w="225"/>
              <w:gridCol w:w="583"/>
              <w:gridCol w:w="411"/>
            </w:tblGrid>
            <w:tr>
              <w:tc>
                <w:tcPr>
                  <w:tcW w:type="dxa" w:w="3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类别</w:t>
                  </w:r>
                </w:p>
              </w:tc>
              <w:tc>
                <w:tcPr>
                  <w:tcW w:type="dxa" w:w="2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项目名称</w:t>
                  </w:r>
                </w:p>
              </w:tc>
              <w:tc>
                <w:tcPr>
                  <w:tcW w:type="dxa" w:w="1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5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金额（小写）元</w:t>
                  </w:r>
                  <w:r>
                    <w:rPr>
                      <w:rFonts w:ascii="仿宋_GB2312" w:hAnsi="仿宋_GB2312" w:cs="仿宋_GB2312" w:eastAsia="仿宋_GB2312"/>
                      <w:sz w:val="21"/>
                    </w:rPr>
                    <w:t>/</w:t>
                  </w:r>
                  <w:r>
                    <w:rPr>
                      <w:rFonts w:ascii="仿宋_GB2312" w:hAnsi="仿宋_GB2312" w:cs="仿宋_GB2312" w:eastAsia="仿宋_GB2312"/>
                      <w:sz w:val="21"/>
                    </w:rPr>
                    <w:t>天</w:t>
                  </w:r>
                </w:p>
              </w:tc>
              <w:tc>
                <w:tcPr>
                  <w:tcW w:type="dxa" w:w="4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医院陪护</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住院</w:t>
                  </w:r>
                  <w:r>
                    <w:rPr>
                      <w:rFonts w:ascii="仿宋_GB2312" w:hAnsi="仿宋_GB2312" w:cs="仿宋_GB2312" w:eastAsia="仿宋_GB2312"/>
                      <w:sz w:val="21"/>
                    </w:rPr>
                    <w:t>病人陪护</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天</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0.00</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r>
                    <w:rPr>
                      <w:rFonts w:ascii="仿宋_GB2312" w:hAnsi="仿宋_GB2312" w:cs="仿宋_GB2312" w:eastAsia="仿宋_GB2312"/>
                      <w:sz w:val="21"/>
                    </w:rPr>
                    <w:t>小时，一对一陪护</w:t>
                  </w:r>
                </w:p>
              </w:tc>
            </w:tr>
          </w:tbl>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按文件要求执行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按文件要求执行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采购人按月据实结算，成交供应商需开具发票及采购清单给采购人。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采购人按月据实结算，成交供应商需开具发票及采购清单给采购人。</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1年度（12个自然月）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1年度（12个自然月）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南郑区中心敬老院、南郑区高台护理分院、南郑区黎坪区域敬老院，共三个地点。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南郑区碑坝区域敬老院、南郑区新集区域敬老院、南郑区法镇区域敬老院、南郑区青树护理院、共四个地点。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服务期满，服务过程满足采购人需求。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服务期满，服务过程满足采购人需求。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进度款，按月支付，达到付款条件起3个工作日内，支付合同总金额的8.3%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进度款，按月支付，达到付款条件起3个工作日内，支付合同总金额的8.3%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进度款，按月支付，达到付款条件起3个工作日内，支付合同总金额的8.4%</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进度款，按月支付，达到付款条件起3个工作日内，支付合同总金额的8.3%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进度款，按月支付，达到付款条件起3个工作日内，支付合同总金额的8.3%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进度款，按月支付，达到付款条件起3个工作日内，支付合同总金额的8.4%</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进度款，按月支付，达到付款条件起3个工作日内，支付合同总金额的8.3%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进度款，按月支付，达到付款条件起3个工作日内，支付合同总金额的8.3%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进度款，按月支付，达到付款条件起3个工作日内，支付合同总金额的8.4%</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进度款，按月支付，达到付款条件起3个工作日内，支付合同总金额的8.3%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进度款，按月支付，达到付款条件起3个工作日内，支付合同总金额的8.3%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进度款，按月支付，达到付款条件起3个工作日内，支付合同总金额的8.4%</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进度款，按月支付，达到付款条件起3个工作日内，支付合同总金额的8.3%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进度款，按月支付，达到付款条件起3个工作日内，支付合同总金额的8.3%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进度款，按月支付，达到付款条件起3个工作日内，支付合同总金额的8.4%</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进度款，按月支付，达到付款条件起3个工作日内，支付合同总金额的8.3%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进度款，按月支付，达到付款条件起3个工作日内，支付合同总金额的8.3%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进度款，按月支付，达到付款条件起3个工作日内，支付合同总金额的8.4%</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进度款，按月支付，达到付款条件起3个工作日内，支付合同总金额的8.3%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进度款，按月支付，达到付款条件起3个工作日内，支付合同总金额的8.3%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进度款，按月支付，达到付款条件起3个工作日内，支付合同总金额的8.4%</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进度款，按月支付，达到付款条件起3个工作日内，支付合同总金额的8.3%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进度款，按月支付，达到付款条件起3个工作日内，支付合同总金额的8.3%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进度款，按月支付，达到付款条件起3个工作日内，支付合同总金额的8.4%</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违约责任在合同专用条款中约定；解决争议首先采取协商的方式，如协商不成则可以到县人民法院起诉。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违约责任在合同专用条款中约定；解决争议首先采取协商的方式，如协商不成则可以到县人民法院起诉。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本项目磋商总报价为全包制，服务期为1年度（12个自然月），各类陪护人员单次（天）护理价不得超过140元单次（天）护理价格，护理次数以采购人要求为准。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按照汉中市财政局《关于全面推行政府采购供应商基本资格条件承诺制的通知》（汉财办采管〔2024〕20 号）文件 要求，提供《汉中市政府采购供应商资格承诺函》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按照汉中市财政局《关于全面推行政府采购供应商基本资格条件承诺制的通知》（汉财办采管〔2024〕20 号）文件 要求，提供《汉中市政府采购供应商资格承诺函》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服务内容及服务邀请应答表 分项报价表 中小企业声明函 商务应答表 保证金缴交证明文件 报价表 投标人应提交的相关资格证明材料 响应文件封面 残疾人福利性单位声明函 服务方案 标的清单 供应商类似项目业绩一览表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分项报价表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响应程度</w:t>
            </w:r>
          </w:p>
        </w:tc>
        <w:tc>
          <w:tcPr>
            <w:tcW w:type="dxa" w:w="3322"/>
          </w:tcPr>
          <w:p>
            <w:pPr>
              <w:pStyle w:val="null3"/>
            </w:pPr>
            <w:r>
              <w:rPr>
                <w:rFonts w:ascii="仿宋_GB2312" w:hAnsi="仿宋_GB2312" w:cs="仿宋_GB2312" w:eastAsia="仿宋_GB2312"/>
              </w:rPr>
              <w:t>要求对磋商文件全面响应，无遗漏。</w:t>
            </w:r>
          </w:p>
        </w:tc>
        <w:tc>
          <w:tcPr>
            <w:tcW w:type="dxa" w:w="1661"/>
          </w:tcPr>
          <w:p>
            <w:pPr>
              <w:pStyle w:val="null3"/>
            </w:pPr>
            <w:r>
              <w:rPr>
                <w:rFonts w:ascii="仿宋_GB2312" w:hAnsi="仿宋_GB2312" w:cs="仿宋_GB2312" w:eastAsia="仿宋_GB2312"/>
              </w:rPr>
              <w:t>服务内容及服务邀请应答表 分项报价表 中小企业声明函 商务应答表 保证金缴交证明文件 报价表 投标人应提交的相关资格证明材料 响应文件封面 残疾人福利性单位声明函 服务方案 标的清单 供应商类似项目业绩一览表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服务内容及服务邀请应答表 分项报价表 中小企业声明函 商务应答表 保证金缴交证明文件 报价表 投标人应提交的相关资格证明材料 响应文件封面 残疾人福利性单位声明函 服务方案 标的清单 供应商类似项目业绩一览表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分项报价表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响应程度</w:t>
            </w:r>
          </w:p>
        </w:tc>
        <w:tc>
          <w:tcPr>
            <w:tcW w:type="dxa" w:w="3322"/>
          </w:tcPr>
          <w:p>
            <w:pPr>
              <w:pStyle w:val="null3"/>
            </w:pPr>
            <w:r>
              <w:rPr>
                <w:rFonts w:ascii="仿宋_GB2312" w:hAnsi="仿宋_GB2312" w:cs="仿宋_GB2312" w:eastAsia="仿宋_GB2312"/>
              </w:rPr>
              <w:t>要求对磋商文件全面响应，无遗漏。</w:t>
            </w:r>
          </w:p>
        </w:tc>
        <w:tc>
          <w:tcPr>
            <w:tcW w:type="dxa" w:w="1661"/>
          </w:tcPr>
          <w:p>
            <w:pPr>
              <w:pStyle w:val="null3"/>
            </w:pPr>
            <w:r>
              <w:rPr>
                <w:rFonts w:ascii="仿宋_GB2312" w:hAnsi="仿宋_GB2312" w:cs="仿宋_GB2312" w:eastAsia="仿宋_GB2312"/>
              </w:rPr>
              <w:t>服务内容及服务邀请应答表 分项报价表 中小企业声明函 商务应答表 保证金缴交证明文件 报价表 投标人应提交的相关资格证明材料 响应文件封面 残疾人福利性单位声明函 服务方案 标的清单 供应商类似项目业绩一览表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pPr>
      <w:r>
        <w:rPr>
          <w:rFonts w:ascii="仿宋_GB2312" w:hAnsi="仿宋_GB2312" w:cs="仿宋_GB2312" w:eastAsia="仿宋_GB2312"/>
        </w:rPr>
        <w:t>采购包2：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项目需求分析</w:t>
            </w:r>
          </w:p>
        </w:tc>
        <w:tc>
          <w:tcPr>
            <w:tcW w:type="dxa" w:w="2492"/>
          </w:tcPr>
          <w:p>
            <w:pPr>
              <w:pStyle w:val="null3"/>
            </w:pPr>
            <w:r>
              <w:rPr>
                <w:rFonts w:ascii="仿宋_GB2312" w:hAnsi="仿宋_GB2312" w:cs="仿宋_GB2312" w:eastAsia="仿宋_GB2312"/>
              </w:rPr>
              <w:t>一、评审内容： 供应商针对本项目进行项目需求分析， 内容包含但不限于：①项目内容了解和分析、②现状概况、工作内容理解与分析、③本项目重点难点分析并提出解决措施。 二、赋分标准 ：（1）方案内容完整全面，对上述各项内容均有描述及说明，得3分；缺1项，得2分；缺2项，得1分；未提供不得分。（2）针对性：针对性强，得3分；针对性一般，得1.5分；缺乏针对性不得分。 （3）可实施性：可实施性强得6分；可实施性一般得3分；缺乏可实施性，得0分。（4）不提供此项的不得分。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供应商针对本项目提供项目服务方案，内容包含但不限于：①整体服务方案、②针对节假日的保障服务方案、③结合采购内容制定 4类人员护理方案等相关内容。二、赋分标准 ：（1）方案内容完整全面，对上述各项内容均有描述及说明，得3分；缺1项，得2分；缺2项，得1分；未提供不得分。（2）针对性：针对性强，得3分；针对性一般，得1.5分；缺乏针对性不得分。 （3）可实施性：可实施性强得6分；可实施性一般得3分；缺乏可实施性，得0分。（4）不提供此项的不得分。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供应商针对本项目提供相关管理制度，内容包含但不限于：①岗位职责:具有岗位工作标准、服务质量标准、现场质量控制体系、②内控制度:管理组织机构、问责机制、监督机制、自查制度、③人员管理制度:具有员工日常管理办法、请销假制度、奖惩措施、激励机制、仪容仪表制度。 二、赋分标准 ：（1）方案内容完整全面，对上述各项内容均有描述及说明，得3分；缺1项，得2分；缺2项，得1分；未提供不得分。（2）针对性：针对性强，得3分；针对性一般，得1.5分；缺乏针对性不得分。 （3）可实施性：可实施性强得6分；可实施性一般得3分；缺乏可实施性，得0分。（4）不提供此项的不得分。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一、评审内容：供应商针对本项目提供应急预案，内容包含但不限于：①突发事件解决措施、②紧急故障处理预案、③应急服务响应时间等相关内容。 二、赋分标准 ：（1）方案内容完整全面，对上述各项内容均有描述及说明，得3分；缺1项，得2分；缺2项，得1分；未提供不得分。（2）针对性：针对性强，得3分；针对性一般，得1.5分；缺乏针对性不得分。 （3）可实施性：可实施性强得6分；可实施性一般得3分；缺乏可实施性，得0分。（4）不提供此项的不得分。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供应商结合本项目要求，提供人员培训方案，明确培训内容。培训应包括岗前培训和在岗培训，内容包含但不限于：①基础护理技能、②健康应急处理、③心理与沟通技巧培训等业务流程等相关内容。 二、赋分标准 ：（1）方案内容完整全面，对上述各项内容均有描述及说明，得3分；缺1项，得2分；缺2项，得1分；未提供不得分。（2）针对性：针对性强，得3分；针对性一般，得1.5分；缺乏针对性不得分。 （3）可实施性：可实施性强得3分；可实施性一般得1.5分；缺乏可实施性，得0分。（4）不提供此项的不得分。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质量管理及保障方案</w:t>
            </w:r>
          </w:p>
        </w:tc>
        <w:tc>
          <w:tcPr>
            <w:tcW w:type="dxa" w:w="2492"/>
          </w:tcPr>
          <w:p>
            <w:pPr>
              <w:pStyle w:val="null3"/>
            </w:pPr>
            <w:r>
              <w:rPr>
                <w:rFonts w:ascii="仿宋_GB2312" w:hAnsi="仿宋_GB2312" w:cs="仿宋_GB2312" w:eastAsia="仿宋_GB2312"/>
              </w:rPr>
              <w:t>一、评审内容：供应商针对本项目制定详细、具体、可行的质量管理及保障方案，内容包含但不限于：①服务质量保障措施及考核标准、②环境卫生保障方案、③回访制度和投诉处理机制等。 二、赋分标准 ：（1）方案内容完整全面，对上述各项内容均有描述及说明，得3分；缺1项，得2分；缺2项，得1分；未提供不得分。（2）针对性：针对性强，得3分；针对性一般，得1.5分；缺乏针对性不得分。（3）可实施性：可实施性强得4分；可实施性一般得2分；缺乏可实施性，得0分。（4）不提供此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特困人员照料服务方案</w:t>
            </w:r>
          </w:p>
        </w:tc>
        <w:tc>
          <w:tcPr>
            <w:tcW w:type="dxa" w:w="2492"/>
          </w:tcPr>
          <w:p>
            <w:pPr>
              <w:pStyle w:val="null3"/>
            </w:pPr>
            <w:r>
              <w:rPr>
                <w:rFonts w:ascii="仿宋_GB2312" w:hAnsi="仿宋_GB2312" w:cs="仿宋_GB2312" w:eastAsia="仿宋_GB2312"/>
              </w:rPr>
              <w:t>一、评审内容： 供应商针对本项目提供特困人员陪护服务方案，内容包含但不限于：①特困人员照料服务周期规划及合理安排方案、②特困人员照料后续跟踪服务方案。 二、赋分标准 ：（1）方案内容完整全面，对上述各项内容均有描述及说明，得2分；缺1项，得1分；未提供不得分。（2）针对性：针对性强，得2分；针对性一般，得1分；缺乏针对性不得分。 （3）可实施性：可实施性强得4分；可实施性一般得2分；缺乏可实施性，得0分。（4）不提供此项的不得分。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本地化服务能力</w:t>
            </w:r>
          </w:p>
        </w:tc>
        <w:tc>
          <w:tcPr>
            <w:tcW w:type="dxa" w:w="2492"/>
          </w:tcPr>
          <w:p>
            <w:pPr>
              <w:pStyle w:val="null3"/>
            </w:pPr>
            <w:r>
              <w:rPr>
                <w:rFonts w:ascii="仿宋_GB2312" w:hAnsi="仿宋_GB2312" w:cs="仿宋_GB2312" w:eastAsia="仿宋_GB2312"/>
              </w:rPr>
              <w:t>一、评审内容：供应商具有本地化服务能力，在项目所在地有常驻的服务机构或在项目所在地有分公司或办事处等作为常驻服务和技术支持机构（提供包括但不限于本地工商注册资料以及距采购人最近的服务网点情况表、人员名单、联系方式等具备售后服务能力的相关证明材料并提供本地化服务方案）。 二、赋分标准 ：（1）方案内容完整全面，对上述各项内容均有描述及说明，得1分；未提供不得分。（2）针对性：针对性强，得1分；针对性一般，得0.5分；缺乏针对性不得分。 （3）可实施性：可实施性强得2分；可实施性一般得1分；缺乏可实施性，得0分。（4）不提供此项的不得分。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一、评审内容：针对本项目提供人员配备方案，内容包含但不限于：人员配备情况及人员配备方案等相关内容。 二、赋分标准 ：（1）方案内容完整全面，对上述各项内容均有描述及说明，得2分；未提供不得分。（2）针对性：针对性强，得2分；针对性一般，得1分；缺乏针对性不得分。 （3）可实施性：可实施性强得2分；可实施性一般得1分；缺乏可实施性，得0分。（4）不提供此项的不得分。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供应商提供至今完成的类似项目业绩证明，每提供一份得2.5分，最高得5分； 注：业绩须是供应商完成的同类项目，以中标通知书或协议书（合同）加盖公章的复印件为准，否则此项将不得分。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磋商报价得分=（磋商基准价/最终磋商报价）×价格权值（即10%）×100 （因落实政府采购政策进行价格调整的，以调整后的价格计算评标基准价和磋商报价）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项目需求分析</w:t>
            </w:r>
          </w:p>
        </w:tc>
        <w:tc>
          <w:tcPr>
            <w:tcW w:type="dxa" w:w="2492"/>
          </w:tcPr>
          <w:p>
            <w:pPr>
              <w:pStyle w:val="null3"/>
            </w:pPr>
            <w:r>
              <w:rPr>
                <w:rFonts w:ascii="仿宋_GB2312" w:hAnsi="仿宋_GB2312" w:cs="仿宋_GB2312" w:eastAsia="仿宋_GB2312"/>
              </w:rPr>
              <w:t>一、评审内容： 供应商针对本项目进行项目需求分析， 内容包含但不限于：①项目内容了解和分析、②现状概况、工作内容理解与分析、③本项目重点难点分析并提出解决措施。 二、赋分标准 ：（1）方案内容完整全面，对上述各项内容均有描述及说明，得3分；缺1项，得2分；缺2项，得1分；未提供不得分。（2）针对性：针对性强，得3分；针对性一般，得1.5分；缺乏针对性不得分。 （3）可实施性：可实施性强得6分；可实施性一般得3分；缺乏可实施性，得0分。（4）不提供此项的不得分。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供应商针对本项目提供项目服务方案，内容包含但不限于：①整体服务方案、②针对节假日的保障服务方案、③结合采购内容制定 4类人员护理方案等相关内容。二、赋分标准 ：（1）方案内容完整全面，对上述各项内容均有描述及说明，得3分；缺1项，得2分；缺2项，得1分；未提供不得分。（2）针对性：针对性强，得3分；针对性一般，得1.5分；缺乏针对性不得分。 （3）可实施性：可实施性强得6分；可实施性一般得3分；缺乏可实施性，得0分。（4）不提供此项的不得分。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供应商针对本项目提供相关管理制度，内容包含但不限于：①岗位职责:具有岗位工作标准、服务质量标准、现场质量控制体系、②内控制度:管理组织机构、问责机制、监督机制、自查制度、③人员管理制度:具有员工日常管理办法、请销假制度、奖惩措施、激励机制、仪容仪表制度。 二、赋分标准 ：（1）方案内容完整全面，对上述各项内容均有描述及说明，得3分；缺1项，得2分；缺2项，得1分；未提供不得分。（2）针对性：针对性强，得3分；针对性一般，得1.5分；缺乏针对性不得分。 （3）可实施性：可实施性强得6分；可实施性一般得3分；缺乏可实施性，得0分。（4）不提供此项的不得分。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一、评审内容：供应商针对本项目提供应急预案，内容包含但不限于：①突发事件解决措施、②紧急故障处理预案、③应急服务响应时间等相关内容。 二、赋分标准 ：（1）方案内容完整全面，对上述各项内容均有描述及说明，得3分；缺1项，得2分；缺2项，得1分；未提供不得分。（2）针对性：针对性强，得3分；针对性一般，得1.5分；缺乏针对性不得分。 （3）可实施性：可实施性强得6分；可实施性一般得3分；缺乏可实施性，得0分。（4）不提供此项的不得分。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供应商结合本项目要求，提供人员培训方案，明确培训内容。培训应包括岗前培训和在岗培训，内容包含但不限于：①基础护理技能、②健康应急处理、③心理与沟通技巧培训等业务流程等相关内容。 二、赋分标准 ：（1）方案内容完整全面，对上述各项内容均有描述及说明，得3分；缺1项，得2分；缺2项，得1分；未提供不得分。（2）针对性：针对性强，得3分；针对性一般，得1.5分；缺乏针对性不得分。 （3）可实施性：可实施性强得3分；可实施性一般得1.5分；缺乏可实施性，得0分。（4）不提供此项的不得分。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质量管理及保障方案</w:t>
            </w:r>
          </w:p>
        </w:tc>
        <w:tc>
          <w:tcPr>
            <w:tcW w:type="dxa" w:w="2492"/>
          </w:tcPr>
          <w:p>
            <w:pPr>
              <w:pStyle w:val="null3"/>
            </w:pPr>
            <w:r>
              <w:rPr>
                <w:rFonts w:ascii="仿宋_GB2312" w:hAnsi="仿宋_GB2312" w:cs="仿宋_GB2312" w:eastAsia="仿宋_GB2312"/>
              </w:rPr>
              <w:t>一、评审内容：供应商针对本项目制定详细、具体、可行的质量管理及保障方案，内容包含但不限于：①服务质量保障措施及考核标准、②环境卫生保障方案、③回访制度和投诉处理机制等。 二、赋分标准 ：（1）方案内容完整全面，对上述各项内容均有描述及说明，得3分；缺1项，得2分；缺2项，得1分；未提供不得分。（2）针对性：针对性强，得3分；针对性一般，得1.5分；缺乏针对性不得分。（3）可实施性：可实施性强得4分；可实施性一般得2分；缺乏可实施性，得0分。（4）不提供此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特困人员照料服务方案</w:t>
            </w:r>
          </w:p>
        </w:tc>
        <w:tc>
          <w:tcPr>
            <w:tcW w:type="dxa" w:w="2492"/>
          </w:tcPr>
          <w:p>
            <w:pPr>
              <w:pStyle w:val="null3"/>
            </w:pPr>
            <w:r>
              <w:rPr>
                <w:rFonts w:ascii="仿宋_GB2312" w:hAnsi="仿宋_GB2312" w:cs="仿宋_GB2312" w:eastAsia="仿宋_GB2312"/>
              </w:rPr>
              <w:t>一、评审内容： 供应商针对本项目提供特困人员陪护服务方案，内容包含但不限于：①特困人员照料服务周期规划及合理安排方案、②特困人员照料后续跟踪服务方案。 二、赋分标准 ：（1）方案内容完整全面，对上述各项内容均有描述及说明，得2分；缺1项，得1分；未提供不得分。（2）针对性：针对性强，得2分；针对性一般，得1分；缺乏针对性不得分。 （3）可实施性：可实施性强得4分；可实施性一般得2分；缺乏可实施性，得0分。（4）不提供此项的不得分。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本地化服务能力</w:t>
            </w:r>
          </w:p>
        </w:tc>
        <w:tc>
          <w:tcPr>
            <w:tcW w:type="dxa" w:w="2492"/>
          </w:tcPr>
          <w:p>
            <w:pPr>
              <w:pStyle w:val="null3"/>
            </w:pPr>
            <w:r>
              <w:rPr>
                <w:rFonts w:ascii="仿宋_GB2312" w:hAnsi="仿宋_GB2312" w:cs="仿宋_GB2312" w:eastAsia="仿宋_GB2312"/>
              </w:rPr>
              <w:t>一、评审内容：供应商具有本地化服务能力，在项目所在地有常驻的服务机构或在项目所在地有分公司或办事处等作为常驻服务和技术支持机构（提供包括但不限于本地工商注册资料以及距采购人最近的服务网点情况表、人员名单、联系方式等具备售后服务能力的相关证明材料并提供本地化服务方案）。 二、赋分标准 ：（1）方案内容完整全面，对上述各项内容均有描述及说明，得1分；未提供不得分。（2）针对性：针对性强，得1分；针对性一般，得0.5分；缺乏针对性不得分。 （3）可实施性：可实施性强得2分；可实施性一般得1分；缺乏可实施性，得0分。（4）不提供此项的不得分。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一、评审内容：针对本项目提供人员配备方案，内容包含但不限于：人员配备情况及人员配备方案等相关内容。 二、赋分标准 ：（1）方案内容完整全面，对上述各项内容均有描述及说明，得2分；未提供不得分。（2）针对性：针对性强，得2分；针对性一般，得1分；缺乏针对性不得分。 （3）可实施性：可实施性强得2分；可实施性一般得1分；缺乏可实施性，得0分。（4）不提供此项的不得分。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供应商提供至今完成的类似项目业绩证明，每提供一份得2.5分，最高得5分； 注：业绩须是供应商完成的同类项目，以中标通知书或协议书（合同）加盖公章的复印件为准，否则此项将不得分。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磋商报价得分=（磋商基准价/最终磋商报价）×价格权值（即10%）×100 （因落实政府采购政策进行价格调整的，以调整后的价格计算评标基准价和磋商报价）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详见附件：保证金缴交证明文件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详见附件：分项报价表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详见附件：保证金缴交证明文件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详见附件：分项报价表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详见附件：合同模板（本合同仅为合同的参考文本，合同签订双方可根据项目的具体要求进行修订）.docx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