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版本号：CZXX-ZB-2600620260609002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淳化县十里塬镇马岭村道路提升项目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CZXX-ZB-26006</w:t>
      </w:r>
      <w:r>
        <w:br/>
      </w:r>
      <w:r>
        <w:br/>
      </w:r>
      <w:r>
        <w:br/>
      </w:r>
    </w:p>
    <w:p>
      <w:pPr>
        <w:pStyle w:val="null3"/>
        <w:jc w:val="center"/>
        <w:outlineLvl w:val="2"/>
      </w:pPr>
      <w:r>
        <w:rPr>
          <w:rFonts w:ascii="仿宋_GB2312" w:hAnsi="仿宋_GB2312" w:cs="仿宋_GB2312" w:eastAsia="仿宋_GB2312"/>
          <w:sz w:val="28"/>
          <w:b/>
        </w:rPr>
        <w:t>淳化县十里塬镇人民政府</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淳化县十里塬镇人民政府</w:t>
      </w:r>
      <w:r>
        <w:rPr>
          <w:rFonts w:ascii="仿宋_GB2312" w:hAnsi="仿宋_GB2312" w:cs="仿宋_GB2312" w:eastAsia="仿宋_GB2312"/>
        </w:rPr>
        <w:t>委托，拟对</w:t>
      </w:r>
      <w:r>
        <w:rPr>
          <w:rFonts w:ascii="仿宋_GB2312" w:hAnsi="仿宋_GB2312" w:cs="仿宋_GB2312" w:eastAsia="仿宋_GB2312"/>
        </w:rPr>
        <w:t>淳化县十里塬镇马岭村道路提升项目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CZXX-ZB-26006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淳化县十里塬镇马岭村道路提升项目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计划对马岭村现有道路进行提升改造，路线总长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采购包1（淳化县十里塬镇马岭村道路提升项目）：属于专门面向中小企业采购。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1、独立承担民事责任能力：具有独立承担民事责任能力的法人、其他组织或自然人，并出具合法有效的营业执照，自然人参与的提供其身份证明；</w:t>
      </w:r>
    </w:p>
    <w:p>
      <w:pPr>
        <w:pStyle w:val="null3"/>
      </w:pPr>
      <w:r>
        <w:rPr>
          <w:rFonts w:ascii="仿宋_GB2312" w:hAnsi="仿宋_GB2312" w:cs="仿宋_GB2312" w:eastAsia="仿宋_GB2312"/>
        </w:rPr>
        <w:t>2、授权委托书：提供法定代表人授权委托书（附法定代表人、被授权人身份证复印件）及被授权人身份证（法定代表人直接参加投标需提供法定代表人身份证明及其身份证）；</w:t>
      </w:r>
    </w:p>
    <w:p>
      <w:pPr>
        <w:pStyle w:val="null3"/>
      </w:pPr>
      <w:r>
        <w:rPr>
          <w:rFonts w:ascii="仿宋_GB2312" w:hAnsi="仿宋_GB2312" w:cs="仿宋_GB2312" w:eastAsia="仿宋_GB2312"/>
        </w:rPr>
        <w:t>3、财务状况证明：提供2024年或2025年度的财务审计报告（至少包括资产负债表和利润表，成立时间至提交响应文件截止时间不足一年的可提供成立后任意时段的资产负债表），或在开标日期前六个月内其基本开户银行出具的资信证明；</w:t>
      </w:r>
    </w:p>
    <w:p>
      <w:pPr>
        <w:pStyle w:val="null3"/>
      </w:pPr>
      <w:r>
        <w:rPr>
          <w:rFonts w:ascii="仿宋_GB2312" w:hAnsi="仿宋_GB2312" w:cs="仿宋_GB2312" w:eastAsia="仿宋_GB2312"/>
        </w:rPr>
        <w:t>4、税收缴纳证明：提供2026年1月至响应文件提交截止日内任意一个月的纳税证明或完税证明（任意税种），依法免税的单位应提供相关证明材料；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5、社会保障资金缴纳证明：提供2026年1月至响应文件提交截止日内任意一个月的社会保障资金缴存单据或社保机构开具的社会保险参保缴费情况证明，依法不需要缴纳社会保障资金的单位应提供相关证明材料；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6、供应商资质：供应商须具备建设行政主管部门颁发的市政公用工程施工总承包三级（含三级）以上资质、具备有效的安全生产许可证；</w:t>
      </w:r>
    </w:p>
    <w:p>
      <w:pPr>
        <w:pStyle w:val="null3"/>
      </w:pPr>
      <w:r>
        <w:rPr>
          <w:rFonts w:ascii="仿宋_GB2312" w:hAnsi="仿宋_GB2312" w:cs="仿宋_GB2312" w:eastAsia="仿宋_GB2312"/>
        </w:rPr>
        <w:t>7、拟派项目经理资格：拟派项目经理须具备市政公用工程专业二级（含二级）以上注册建造师资格，具有有效的安全生产考核合格证书，在本单位注册且无在建工程；</w:t>
      </w:r>
    </w:p>
    <w:p>
      <w:pPr>
        <w:pStyle w:val="null3"/>
      </w:pPr>
      <w:r>
        <w:rPr>
          <w:rFonts w:ascii="仿宋_GB2312" w:hAnsi="仿宋_GB2312" w:cs="仿宋_GB2312" w:eastAsia="仿宋_GB2312"/>
        </w:rPr>
        <w:t>8、履行能力承诺函：具有履行合同所必需的设备和专业技术能力承诺函；</w:t>
      </w:r>
    </w:p>
    <w:p>
      <w:pPr>
        <w:pStyle w:val="null3"/>
      </w:pPr>
      <w:r>
        <w:rPr>
          <w:rFonts w:ascii="仿宋_GB2312" w:hAnsi="仿宋_GB2312" w:cs="仿宋_GB2312" w:eastAsia="仿宋_GB2312"/>
        </w:rPr>
        <w:t>9、无重大违法记录声明：提供参加本次政府采购活动前三年内在经营活动中没有重大违法记录的书面声明；</w:t>
      </w:r>
    </w:p>
    <w:p>
      <w:pPr>
        <w:pStyle w:val="null3"/>
      </w:pPr>
      <w:r>
        <w:rPr>
          <w:rFonts w:ascii="仿宋_GB2312" w:hAnsi="仿宋_GB2312" w:cs="仿宋_GB2312" w:eastAsia="仿宋_GB2312"/>
        </w:rPr>
        <w:t>10、信用记录：供应商不得为“中国执行信息公开网（zxgk.court.gov.cn）”被列入失信被执行人名单，“信用中国（www.creditchina.gov.cn）”重大税收违法失信主体名单；不得为“中国政府采购网（www.ccgp.gov.cn）”被列入政府采购严重违法失信行为记录名单；</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12、中小企业：本项目专门面向中小企业；</w:t>
      </w:r>
    </w:p>
    <w:p>
      <w:pPr>
        <w:pStyle w:val="null3"/>
      </w:pPr>
      <w:r>
        <w:rPr>
          <w:rFonts w:ascii="仿宋_GB2312" w:hAnsi="仿宋_GB2312" w:cs="仿宋_GB2312" w:eastAsia="仿宋_GB2312"/>
        </w:rPr>
        <w:t>13、联合体投标：本项目不接受联合体投标。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淳化县十里塬镇人民政府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淳化县十里塬街道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029-32711024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陕西省西咸新区沣西新城天兴大厦9-002室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029-32203699、15596750886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采购包1：1,632,410.49元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参照国家计委颁发的《招标代理服务收费管理暂行办法》（计价格[2002]1980号）和国家发展和改革委员会办公厅颁发的《关于招标代理服务收费有关问题的通知》（发改办价格[2003]857号）的有关规定执行计取。由成交供应商在领取成交通知书时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淳化县十里塬镇人民政府</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淳化县十里塬镇人民政府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淳化县十里塬镇人民政府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联系人：徐工</w:t>
      </w:r>
    </w:p>
    <w:p>
      <w:pPr>
        <w:pStyle w:val="null3"/>
      </w:pPr>
      <w:r>
        <w:rPr>
          <w:rFonts w:ascii="仿宋_GB2312" w:hAnsi="仿宋_GB2312" w:cs="仿宋_GB2312" w:eastAsia="仿宋_GB2312"/>
        </w:rPr>
        <w:t>联系电话：029-32203699</w:t>
      </w:r>
    </w:p>
    <w:p>
      <w:pPr>
        <w:pStyle w:val="null3"/>
      </w:pPr>
      <w:r>
        <w:rPr>
          <w:rFonts w:ascii="仿宋_GB2312" w:hAnsi="仿宋_GB2312" w:cs="仿宋_GB2312" w:eastAsia="仿宋_GB2312"/>
        </w:rPr>
        <w:t>地址：陕西省西咸新区沣西新城天兴大厦9-002室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1,632,410.49</w:t>
      </w:r>
    </w:p>
    <w:p>
      <w:pPr>
        <w:pStyle w:val="null3"/>
      </w:pPr>
      <w:r>
        <w:rPr>
          <w:rFonts w:ascii="仿宋_GB2312" w:hAnsi="仿宋_GB2312" w:cs="仿宋_GB2312" w:eastAsia="仿宋_GB2312"/>
        </w:rPr>
        <w:t>采购包最高限价（元）: 1,632,410.49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淳化县十里塬镇马岭村道路提升项目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1,632,410.49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标的名称：淳化县十里塬镇马岭村道路提升项目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项目基本情况</w:t>
            </w:r>
          </w:p>
          <w:p>
            <w:pPr>
              <w:pStyle w:val="null3"/>
              <w:ind w:firstLine="422"/>
              <w:jc w:val="left"/>
            </w:pPr>
            <w:r>
              <w:rPr>
                <w:rFonts w:ascii="仿宋_GB2312" w:hAnsi="仿宋_GB2312" w:cs="仿宋_GB2312" w:eastAsia="仿宋_GB2312"/>
                <w:sz w:val="21"/>
                <w:b/>
                <w:color w:val="000000"/>
              </w:rPr>
              <w:t>1.项目名称：</w:t>
            </w:r>
            <w:r>
              <w:rPr>
                <w:rFonts w:ascii="仿宋_GB2312" w:hAnsi="仿宋_GB2312" w:cs="仿宋_GB2312" w:eastAsia="仿宋_GB2312"/>
                <w:sz w:val="21"/>
                <w:color w:val="000000"/>
              </w:rPr>
              <w:t>淳化县十里塬镇马岭村道路提升项目</w:t>
            </w:r>
          </w:p>
          <w:p>
            <w:pPr>
              <w:pStyle w:val="null3"/>
              <w:ind w:firstLine="420"/>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.项目编号：</w:t>
            </w:r>
            <w:r>
              <w:rPr>
                <w:rFonts w:ascii="仿宋_GB2312" w:hAnsi="仿宋_GB2312" w:cs="仿宋_GB2312" w:eastAsia="仿宋_GB2312"/>
                <w:sz w:val="21"/>
                <w:color w:val="000000"/>
              </w:rPr>
              <w:t>CZXX-ZB-26006</w:t>
            </w:r>
          </w:p>
          <w:p>
            <w:pPr>
              <w:pStyle w:val="null3"/>
              <w:ind w:firstLine="422"/>
              <w:jc w:val="left"/>
            </w:pPr>
            <w:r>
              <w:rPr>
                <w:rFonts w:ascii="仿宋_GB2312" w:hAnsi="仿宋_GB2312" w:cs="仿宋_GB2312" w:eastAsia="仿宋_GB2312"/>
                <w:sz w:val="21"/>
                <w:b/>
                <w:color w:val="000000"/>
              </w:rPr>
              <w:t>3.采购人：</w:t>
            </w:r>
            <w:r>
              <w:rPr>
                <w:rFonts w:ascii="仿宋_GB2312" w:hAnsi="仿宋_GB2312" w:cs="仿宋_GB2312" w:eastAsia="仿宋_GB2312"/>
                <w:sz w:val="21"/>
                <w:color w:val="000000"/>
              </w:rPr>
              <w:t>淳化县十里塬镇人民政府</w:t>
            </w:r>
          </w:p>
          <w:p>
            <w:pPr>
              <w:pStyle w:val="null3"/>
              <w:ind w:firstLine="420"/>
              <w:jc w:val="left"/>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.项目内容：</w:t>
            </w:r>
            <w:r>
              <w:rPr>
                <w:rFonts w:ascii="仿宋_GB2312" w:hAnsi="仿宋_GB2312" w:cs="仿宋_GB2312" w:eastAsia="仿宋_GB2312"/>
                <w:sz w:val="21"/>
                <w:color w:val="000000"/>
              </w:rPr>
              <w:t>本项目计划对马岭村现有道路进行提升改造，路线总长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、工期</w:t>
            </w:r>
          </w:p>
          <w:p>
            <w:pPr>
              <w:pStyle w:val="null3"/>
              <w:ind w:firstLine="420"/>
              <w:jc w:val="both"/>
            </w:pPr>
            <w:r>
              <w:rPr>
                <w:rFonts w:ascii="仿宋_GB2312" w:hAnsi="仿宋_GB2312" w:cs="仿宋_GB2312" w:eastAsia="仿宋_GB2312"/>
                <w:sz w:val="21"/>
                <w:color w:val="000000"/>
              </w:rPr>
              <w:t>4个月</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、质量要求</w:t>
            </w:r>
          </w:p>
          <w:p>
            <w:pPr>
              <w:pStyle w:val="null3"/>
              <w:ind w:firstLine="420"/>
              <w:jc w:val="both"/>
            </w:pPr>
            <w:r>
              <w:rPr>
                <w:rFonts w:ascii="仿宋_GB2312" w:hAnsi="仿宋_GB2312" w:cs="仿宋_GB2312" w:eastAsia="仿宋_GB2312"/>
                <w:sz w:val="21"/>
                <w:color w:val="000000"/>
              </w:rPr>
              <w:t>符合国家及地方现行验收规范“合格”标准。</w:t>
            </w:r>
          </w:p>
          <w:p>
            <w:pPr>
              <w:pStyle w:val="null3"/>
              <w:jc w:val="both"/>
            </w:pPr>
            <w:r>
              <w:rPr>
                <w:rFonts w:ascii="仿宋_GB2312" w:hAnsi="仿宋_GB2312" w:cs="仿宋_GB2312" w:eastAsia="仿宋_GB2312"/>
                <w:sz w:val="21"/>
                <w:b/>
                <w:color w:val="000000"/>
              </w:rPr>
              <w:t>四、质保期：</w:t>
            </w:r>
          </w:p>
          <w:p>
            <w:pPr>
              <w:pStyle w:val="null3"/>
              <w:ind w:firstLine="420"/>
              <w:jc w:val="both"/>
            </w:pPr>
            <w:r>
              <w:rPr>
                <w:rFonts w:ascii="仿宋_GB2312" w:hAnsi="仿宋_GB2312" w:cs="仿宋_GB2312" w:eastAsia="仿宋_GB2312"/>
                <w:sz w:val="21"/>
                <w:color w:val="000000"/>
              </w:rPr>
              <w:t>自工程竣工验收合格之日起24个月</w:t>
            </w:r>
          </w:p>
          <w:p>
            <w:pPr>
              <w:pStyle w:val="null3"/>
              <w:jc w:val="both"/>
            </w:pPr>
            <w:r>
              <w:rPr>
                <w:rFonts w:ascii="仿宋_GB2312" w:hAnsi="仿宋_GB2312" w:cs="仿宋_GB2312" w:eastAsia="仿宋_GB2312"/>
                <w:sz w:val="21"/>
                <w:b/>
                <w:color w:val="000000"/>
              </w:rPr>
              <w:t>五、付款方式：</w:t>
            </w:r>
          </w:p>
          <w:p>
            <w:pPr>
              <w:pStyle w:val="null3"/>
              <w:ind w:firstLine="420"/>
              <w:jc w:val="left"/>
            </w:pPr>
            <w:r>
              <w:rPr>
                <w:rFonts w:ascii="仿宋_GB2312" w:hAnsi="仿宋_GB2312" w:cs="仿宋_GB2312" w:eastAsia="仿宋_GB2312"/>
                <w:sz w:val="21"/>
                <w:color w:val="000000"/>
              </w:rPr>
              <w:t>合同签订后预付</w:t>
            </w:r>
            <w:r>
              <w:rPr>
                <w:rFonts w:ascii="仿宋_GB2312" w:hAnsi="仿宋_GB2312" w:cs="仿宋_GB2312" w:eastAsia="仿宋_GB2312"/>
                <w:sz w:val="21"/>
                <w:color w:val="000000"/>
              </w:rPr>
              <w:t>合同总金额的</w:t>
            </w:r>
            <w:r>
              <w:rPr>
                <w:rFonts w:ascii="仿宋_GB2312" w:hAnsi="仿宋_GB2312" w:cs="仿宋_GB2312" w:eastAsia="仿宋_GB2312"/>
                <w:sz w:val="21"/>
                <w:color w:val="000000"/>
              </w:rPr>
              <w:t>30%，工程竣工后支付至</w:t>
            </w:r>
            <w:r>
              <w:rPr>
                <w:rFonts w:ascii="仿宋_GB2312" w:hAnsi="仿宋_GB2312" w:cs="仿宋_GB2312" w:eastAsia="仿宋_GB2312"/>
                <w:sz w:val="21"/>
                <w:color w:val="000000"/>
              </w:rPr>
              <w:t>合同总金额的</w:t>
            </w:r>
            <w:r>
              <w:rPr>
                <w:rFonts w:ascii="仿宋_GB2312" w:hAnsi="仿宋_GB2312" w:cs="仿宋_GB2312" w:eastAsia="仿宋_GB2312"/>
                <w:sz w:val="21"/>
                <w:color w:val="000000"/>
              </w:rPr>
              <w:t>60%，经验收合格、结算审计后支付剩余</w:t>
            </w:r>
            <w:r>
              <w:rPr>
                <w:rFonts w:ascii="仿宋_GB2312" w:hAnsi="仿宋_GB2312" w:cs="仿宋_GB2312" w:eastAsia="仿宋_GB2312"/>
                <w:sz w:val="21"/>
                <w:color w:val="000000"/>
              </w:rPr>
              <w:t>合同总金额的</w:t>
            </w:r>
            <w:r>
              <w:rPr>
                <w:rFonts w:ascii="仿宋_GB2312" w:hAnsi="仿宋_GB2312" w:cs="仿宋_GB2312" w:eastAsia="仿宋_GB2312"/>
                <w:sz w:val="21"/>
                <w:color w:val="000000"/>
              </w:rPr>
              <w:t>40%。</w:t>
            </w:r>
          </w:p>
          <w:p>
            <w:pPr>
              <w:pStyle w:val="null3"/>
              <w:ind w:firstLine="420"/>
              <w:jc w:val="left"/>
            </w:pPr>
            <w:r>
              <w:rPr>
                <w:rFonts w:ascii="仿宋_GB2312" w:hAnsi="仿宋_GB2312" w:cs="仿宋_GB2312" w:eastAsia="仿宋_GB2312"/>
                <w:sz w:val="21"/>
                <w:color w:val="000000"/>
              </w:rPr>
              <w:t>支付方式：银行转账。</w:t>
            </w:r>
          </w:p>
          <w:p>
            <w:pPr>
              <w:pStyle w:val="null3"/>
              <w:jc w:val="left"/>
            </w:pPr>
            <w:r>
              <w:rPr>
                <w:rFonts w:ascii="仿宋_GB2312" w:hAnsi="仿宋_GB2312" w:cs="仿宋_GB2312" w:eastAsia="仿宋_GB2312"/>
                <w:sz w:val="21"/>
                <w:b/>
                <w:color w:val="000000"/>
              </w:rPr>
              <w:t>六、违约责任</w:t>
            </w:r>
          </w:p>
          <w:p>
            <w:pPr>
              <w:pStyle w:val="null3"/>
              <w:ind w:firstLine="420"/>
              <w:jc w:val="left"/>
            </w:pPr>
            <w:r>
              <w:rPr>
                <w:rFonts w:ascii="仿宋_GB2312" w:hAnsi="仿宋_GB2312" w:cs="仿宋_GB2312" w:eastAsia="仿宋_GB2312"/>
                <w:sz w:val="21"/>
                <w:color w:val="000000"/>
              </w:rPr>
              <w:t>1.按《中华人民共和国民法典》中的相关条款执行。</w:t>
            </w:r>
          </w:p>
          <w:p>
            <w:pPr>
              <w:pStyle w:val="null3"/>
              <w:ind w:firstLine="420"/>
              <w:jc w:val="left"/>
            </w:pPr>
            <w:r>
              <w:rPr>
                <w:rFonts w:ascii="仿宋_GB2312" w:hAnsi="仿宋_GB2312" w:cs="仿宋_GB2312" w:eastAsia="仿宋_GB2312"/>
                <w:sz w:val="21"/>
                <w:color w:val="000000"/>
              </w:rPr>
              <w:t>2.成交单位未按合同要求提供货物或货物质量不能满足技术要求，采购单位有权终止合同，并对其违约行为进行追究。</w:t>
            </w:r>
          </w:p>
          <w:p>
            <w:pPr>
              <w:pStyle w:val="null3"/>
            </w:pPr>
            <w:r>
              <w:rPr>
                <w:rFonts w:ascii="仿宋_GB2312" w:hAnsi="仿宋_GB2312" w:cs="仿宋_GB2312" w:eastAsia="仿宋_GB2312"/>
                <w:sz w:val="21"/>
                <w:b/>
                <w:color w:val="000000"/>
              </w:rPr>
              <w:t>七、工程量清单及图纸：</w:t>
            </w:r>
            <w:r>
              <w:rPr>
                <w:rFonts w:ascii="仿宋_GB2312" w:hAnsi="仿宋_GB2312" w:cs="仿宋_GB2312" w:eastAsia="仿宋_GB2312"/>
                <w:sz w:val="21"/>
                <w:color w:val="000000"/>
              </w:rPr>
              <w:t>详见附件。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1"/>
                <w:b/>
                <w:color w:val="000000"/>
              </w:rPr>
              <w:t>工程量清单编制说明：</w:t>
            </w:r>
          </w:p>
          <w:p>
            <w:pPr>
              <w:pStyle w:val="null3"/>
              <w:jc w:val="left"/>
            </w:pPr>
            <w:r>
              <w:rPr>
                <w:rFonts w:ascii="仿宋_GB2312" w:hAnsi="仿宋_GB2312" w:cs="仿宋_GB2312" w:eastAsia="仿宋_GB2312"/>
                <w:sz w:val="21"/>
                <w:b/>
                <w:color w:val="000000"/>
              </w:rPr>
              <w:t>1.编制说明</w:t>
            </w:r>
          </w:p>
          <w:p>
            <w:pPr>
              <w:pStyle w:val="null3"/>
              <w:ind w:firstLine="420"/>
              <w:jc w:val="both"/>
            </w:pPr>
            <w:r>
              <w:rPr>
                <w:rFonts w:ascii="仿宋_GB2312" w:hAnsi="仿宋_GB2312" w:cs="仿宋_GB2312" w:eastAsia="仿宋_GB2312"/>
                <w:sz w:val="21"/>
                <w:color w:val="000000"/>
              </w:rPr>
              <w:t xml:space="preserve">1.1 </w:t>
            </w:r>
            <w:r>
              <w:rPr>
                <w:rFonts w:ascii="仿宋_GB2312" w:hAnsi="仿宋_GB2312" w:cs="仿宋_GB2312" w:eastAsia="仿宋_GB2312"/>
                <w:sz w:val="21"/>
                <w:color w:val="000000"/>
              </w:rPr>
              <w:t>项目概况：本项目计划对马岭村现有道路进行提升改造，路线总长</w:t>
            </w:r>
            <w:r>
              <w:rPr>
                <w:rFonts w:ascii="仿宋_GB2312" w:hAnsi="仿宋_GB2312" w:cs="仿宋_GB2312" w:eastAsia="仿宋_GB2312"/>
                <w:sz w:val="21"/>
                <w:color w:val="000000"/>
              </w:rPr>
              <w:t>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pPr>
              <w:pStyle w:val="null3"/>
              <w:ind w:firstLine="420"/>
              <w:jc w:val="both"/>
            </w:pPr>
            <w:r>
              <w:rPr>
                <w:rFonts w:ascii="仿宋_GB2312" w:hAnsi="仿宋_GB2312" w:cs="仿宋_GB2312" w:eastAsia="仿宋_GB2312"/>
                <w:sz w:val="21"/>
                <w:color w:val="000000"/>
              </w:rPr>
              <w:t>1.2 编制范围：本项目工程量清单所包括的全部内容</w:t>
            </w:r>
          </w:p>
          <w:p>
            <w:pPr>
              <w:pStyle w:val="null3"/>
              <w:ind w:firstLine="420"/>
              <w:jc w:val="both"/>
            </w:pPr>
            <w:r>
              <w:rPr>
                <w:rFonts w:ascii="仿宋_GB2312" w:hAnsi="仿宋_GB2312" w:cs="仿宋_GB2312" w:eastAsia="仿宋_GB2312"/>
                <w:sz w:val="21"/>
                <w:color w:val="000000"/>
              </w:rPr>
              <w:t>1.3 编制依据：</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《陕西省建设工程工程量清单计价标准及计算标准》（</w:t>
            </w:r>
            <w:r>
              <w:rPr>
                <w:rFonts w:ascii="仿宋_GB2312" w:hAnsi="仿宋_GB2312" w:cs="仿宋_GB2312" w:eastAsia="仿宋_GB2312"/>
                <w:sz w:val="21"/>
                <w:color w:val="000000"/>
              </w:rPr>
              <w:t>2025）；</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陕西省、咸阳市建设主管部门及造价管理部门颁发的相关计价规定；</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本项目的设计文件及相关资料；</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与本项目有关的标准、规范、技术资料；</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竞争性磋商文件中对工程量清单编制的相关要求；</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施工现场情况、工程特点及常规施工方案；</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其他编制依据：</w:t>
            </w:r>
            <w:r>
              <w:rPr>
                <w:rFonts w:ascii="仿宋_GB2312" w:hAnsi="仿宋_GB2312" w:cs="仿宋_GB2312" w:eastAsia="仿宋_GB2312"/>
                <w:sz w:val="21"/>
                <w:b/>
                <w:color w:val="000000"/>
                <w:u w:val="single"/>
              </w:rPr>
              <w:t>本工程采用广联达云计价平台</w:t>
            </w:r>
            <w:r>
              <w:rPr>
                <w:rFonts w:ascii="仿宋_GB2312" w:hAnsi="仿宋_GB2312" w:cs="仿宋_GB2312" w:eastAsia="仿宋_GB2312"/>
                <w:sz w:val="21"/>
                <w:b/>
                <w:color w:val="000000"/>
                <w:u w:val="single"/>
              </w:rPr>
              <w:t>GCCP7.0（7.5000.23.3版本）编制，规费、税金、安全及文明施工措施费均按相关规定费率取费计入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1.4 补充项目的项目特征、计量单位、工程量计算规则及工程内容说明如下：</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其他相关说明：</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w:t>
            </w:r>
          </w:p>
          <w:p>
            <w:pPr>
              <w:pStyle w:val="null3"/>
              <w:ind w:firstLine="420"/>
              <w:jc w:val="both"/>
            </w:pPr>
            <w:r>
              <w:rPr>
                <w:rFonts w:ascii="仿宋_GB2312" w:hAnsi="仿宋_GB2312" w:cs="仿宋_GB2312" w:eastAsia="仿宋_GB2312"/>
                <w:sz w:val="21"/>
                <w:color w:val="000000"/>
              </w:rPr>
              <w:t>1.6 本项目</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1"/>
                <w:b/>
                <w:color w:val="000000"/>
                <w:u w:val="single"/>
              </w:rPr>
              <w:t>有</w:t>
            </w:r>
            <w:r>
              <w:rPr>
                <w:rFonts w:ascii="仿宋_GB2312" w:hAnsi="仿宋_GB2312" w:cs="仿宋_GB2312" w:eastAsia="仿宋_GB2312"/>
                <w:sz w:val="21"/>
                <w:color w:val="000000"/>
              </w:rPr>
              <w:t>暂列金额，</w:t>
            </w:r>
            <w:r>
              <w:rPr>
                <w:rFonts w:ascii="仿宋_GB2312" w:hAnsi="仿宋_GB2312" w:cs="仿宋_GB2312" w:eastAsia="仿宋_GB2312"/>
                <w:sz w:val="21"/>
                <w:b/>
                <w:color w:val="000000"/>
              </w:rPr>
              <w:t>暂列金额：</w:t>
            </w:r>
            <w:r>
              <w:rPr>
                <w:rFonts w:ascii="仿宋_GB2312" w:hAnsi="仿宋_GB2312" w:cs="仿宋_GB2312" w:eastAsia="仿宋_GB2312"/>
                <w:sz w:val="21"/>
                <w:b/>
                <w:color w:val="000000"/>
                <w:u w:val="single"/>
              </w:rPr>
              <w:t>70000.00元</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1.7 </w:t>
            </w:r>
            <w:r>
              <w:rPr>
                <w:rFonts w:ascii="仿宋_GB2312" w:hAnsi="仿宋_GB2312" w:cs="仿宋_GB2312" w:eastAsia="仿宋_GB2312"/>
                <w:sz w:val="21"/>
                <w:color w:val="000000"/>
              </w:rPr>
              <w:t>本项目</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b/>
                <w:color w:val="000000"/>
                <w:u w:val="single"/>
              </w:rPr>
              <w:t>有</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暂估价专业工程，</w:t>
            </w:r>
            <w:r>
              <w:rPr>
                <w:rFonts w:ascii="仿宋_GB2312" w:hAnsi="仿宋_GB2312" w:cs="仿宋_GB2312" w:eastAsia="仿宋_GB2312"/>
                <w:sz w:val="21"/>
                <w:b/>
                <w:color w:val="000000"/>
              </w:rPr>
              <w:t>专业工程暂估价（沿线破损路面修复费用）：</w:t>
            </w:r>
            <w:r>
              <w:rPr>
                <w:rFonts w:ascii="仿宋_GB2312" w:hAnsi="仿宋_GB2312" w:cs="仿宋_GB2312" w:eastAsia="仿宋_GB2312"/>
                <w:sz w:val="21"/>
                <w:b/>
                <w:color w:val="000000"/>
                <w:u w:val="single"/>
              </w:rPr>
              <w:t>150000.00元</w:t>
            </w:r>
            <w:r>
              <w:rPr>
                <w:rFonts w:ascii="仿宋_GB2312" w:hAnsi="仿宋_GB2312" w:cs="仿宋_GB2312" w:eastAsia="仿宋_GB2312"/>
                <w:sz w:val="21"/>
                <w:color w:val="000000"/>
                <w:u w:val="single"/>
              </w:rPr>
              <w:t>。</w:t>
            </w:r>
          </w:p>
          <w:p>
            <w:pPr>
              <w:pStyle w:val="null3"/>
              <w:jc w:val="left"/>
            </w:pPr>
            <w:r>
              <w:rPr>
                <w:rFonts w:ascii="仿宋_GB2312" w:hAnsi="仿宋_GB2312" w:cs="仿宋_GB2312" w:eastAsia="仿宋_GB2312"/>
                <w:sz w:val="21"/>
                <w:b/>
                <w:color w:val="000000"/>
              </w:rPr>
              <w:t>2. 投标报价须知</w:t>
            </w:r>
          </w:p>
          <w:p>
            <w:pPr>
              <w:pStyle w:val="null3"/>
              <w:ind w:firstLine="420"/>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本工程量清单应与竞争性磋商文件中的供应商须知、通用合同条款、专用合同条款、技术标准和要求等章节内容一起阅读和理解。</w:t>
            </w:r>
          </w:p>
          <w:p>
            <w:pPr>
              <w:pStyle w:val="null3"/>
              <w:ind w:firstLine="420"/>
              <w:jc w:val="both"/>
            </w:pPr>
            <w:r>
              <w:rPr>
                <w:rFonts w:ascii="仿宋_GB2312" w:hAnsi="仿宋_GB2312" w:cs="仿宋_GB2312" w:eastAsia="仿宋_GB2312"/>
                <w:sz w:val="21"/>
                <w:color w:val="000000"/>
              </w:rPr>
              <w:t>2.2 供应商对本工程量清单如有疑问，应按第二章“供应商须知”规定要求采购人予以澄清。</w:t>
            </w:r>
          </w:p>
          <w:p>
            <w:pPr>
              <w:pStyle w:val="null3"/>
              <w:ind w:firstLine="420"/>
              <w:jc w:val="both"/>
            </w:pPr>
            <w:r>
              <w:rPr>
                <w:rFonts w:ascii="仿宋_GB2312" w:hAnsi="仿宋_GB2312" w:cs="仿宋_GB2312" w:eastAsia="仿宋_GB2312"/>
                <w:sz w:val="21"/>
                <w:color w:val="000000"/>
              </w:rPr>
              <w:t>2.3 投标报价应根据竞争性</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文件中的有关计价要求，对本工程清单按照下列依据自主报价。</w:t>
            </w:r>
          </w:p>
          <w:p>
            <w:pPr>
              <w:pStyle w:val="null3"/>
              <w:ind w:firstLine="422"/>
              <w:jc w:val="both"/>
            </w:pPr>
            <w:r>
              <w:rPr>
                <w:rFonts w:ascii="仿宋_GB2312" w:hAnsi="仿宋_GB2312" w:cs="仿宋_GB2312" w:eastAsia="仿宋_GB2312"/>
                <w:sz w:val="21"/>
                <w:b/>
                <w:color w:val="000000"/>
              </w:rPr>
              <w:t>(1)本竞争性</w:t>
            </w:r>
            <w:r>
              <w:rPr>
                <w:rFonts w:ascii="仿宋_GB2312" w:hAnsi="仿宋_GB2312" w:cs="仿宋_GB2312" w:eastAsia="仿宋_GB2312"/>
                <w:sz w:val="21"/>
                <w:b/>
                <w:color w:val="000000"/>
              </w:rPr>
              <w:t>磋商</w:t>
            </w:r>
            <w:r>
              <w:rPr>
                <w:rFonts w:ascii="仿宋_GB2312" w:hAnsi="仿宋_GB2312" w:cs="仿宋_GB2312" w:eastAsia="仿宋_GB2312"/>
                <w:sz w:val="21"/>
                <w:b/>
                <w:color w:val="000000"/>
              </w:rPr>
              <w:t>文件、工程量清单及竞争性</w:t>
            </w:r>
            <w:r>
              <w:rPr>
                <w:rFonts w:ascii="仿宋_GB2312" w:hAnsi="仿宋_GB2312" w:cs="仿宋_GB2312" w:eastAsia="仿宋_GB2312"/>
                <w:sz w:val="21"/>
                <w:b/>
                <w:color w:val="000000"/>
              </w:rPr>
              <w:t>磋商</w:t>
            </w:r>
            <w:r>
              <w:rPr>
                <w:rFonts w:ascii="仿宋_GB2312" w:hAnsi="仿宋_GB2312" w:cs="仿宋_GB2312" w:eastAsia="仿宋_GB2312"/>
                <w:sz w:val="21"/>
                <w:b/>
                <w:color w:val="000000"/>
              </w:rPr>
              <w:t>文件的澄清、补充和修改文件；</w:t>
            </w:r>
          </w:p>
          <w:p>
            <w:pPr>
              <w:pStyle w:val="null3"/>
              <w:ind w:firstLine="422"/>
              <w:jc w:val="both"/>
            </w:pPr>
            <w:r>
              <w:rPr>
                <w:rFonts w:ascii="仿宋_GB2312" w:hAnsi="仿宋_GB2312" w:cs="仿宋_GB2312" w:eastAsia="仿宋_GB2312"/>
                <w:sz w:val="21"/>
                <w:b/>
                <w:color w:val="000000"/>
              </w:rPr>
              <w:t>(2)本项目的相关文件及相关资料；</w:t>
            </w:r>
          </w:p>
          <w:p>
            <w:pPr>
              <w:pStyle w:val="null3"/>
              <w:ind w:firstLine="422"/>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《陕西省建设工程工程量清单计价标准及计算标准》（</w:t>
            </w:r>
            <w:r>
              <w:rPr>
                <w:rFonts w:ascii="仿宋_GB2312" w:hAnsi="仿宋_GB2312" w:cs="仿宋_GB2312" w:eastAsia="仿宋_GB2312"/>
                <w:sz w:val="21"/>
                <w:b/>
                <w:color w:val="000000"/>
              </w:rPr>
              <w:t>2025）</w:t>
            </w:r>
            <w:r>
              <w:rPr>
                <w:rFonts w:ascii="仿宋_GB2312" w:hAnsi="仿宋_GB2312" w:cs="仿宋_GB2312" w:eastAsia="仿宋_GB2312"/>
                <w:sz w:val="21"/>
                <w:b/>
                <w:color w:val="000000"/>
              </w:rPr>
              <w:t>；</w:t>
            </w:r>
          </w:p>
          <w:p>
            <w:pPr>
              <w:pStyle w:val="null3"/>
              <w:ind w:firstLine="422"/>
              <w:jc w:val="both"/>
            </w:pPr>
            <w:r>
              <w:rPr>
                <w:rFonts w:ascii="仿宋_GB2312" w:hAnsi="仿宋_GB2312" w:cs="仿宋_GB2312" w:eastAsia="仿宋_GB2312"/>
                <w:sz w:val="21"/>
                <w:b/>
                <w:color w:val="000000"/>
              </w:rPr>
              <w:t>(4)陕西省、咸阳市建设主管部门及造价管理部门颁发的相关计价规定；</w:t>
            </w:r>
          </w:p>
          <w:p>
            <w:pPr>
              <w:pStyle w:val="null3"/>
              <w:ind w:firstLine="422"/>
              <w:jc w:val="both"/>
            </w:pPr>
            <w:r>
              <w:rPr>
                <w:rFonts w:ascii="仿宋_GB2312" w:hAnsi="仿宋_GB2312" w:cs="仿宋_GB2312" w:eastAsia="仿宋_GB2312"/>
                <w:sz w:val="21"/>
                <w:b/>
                <w:color w:val="000000"/>
              </w:rPr>
              <w:t>(5)企业定额，或参考陕西省建设厅颁发的相关消耗量定额、计价费率及其他相关计价依据和办法；</w:t>
            </w:r>
          </w:p>
          <w:p>
            <w:pPr>
              <w:pStyle w:val="null3"/>
              <w:ind w:firstLine="422"/>
              <w:jc w:val="both"/>
            </w:pPr>
            <w:r>
              <w:rPr>
                <w:rFonts w:ascii="仿宋_GB2312" w:hAnsi="仿宋_GB2312" w:cs="仿宋_GB2312" w:eastAsia="仿宋_GB2312"/>
                <w:sz w:val="21"/>
                <w:b/>
                <w:color w:val="000000"/>
              </w:rPr>
              <w:t>(6)市场价格信息，或参考咸阳市工程造价管理机构发布的工程造价信息；</w:t>
            </w:r>
          </w:p>
          <w:p>
            <w:pPr>
              <w:pStyle w:val="null3"/>
              <w:ind w:firstLine="422"/>
              <w:jc w:val="both"/>
            </w:pPr>
            <w:r>
              <w:rPr>
                <w:rFonts w:ascii="仿宋_GB2312" w:hAnsi="仿宋_GB2312" w:cs="仿宋_GB2312" w:eastAsia="仿宋_GB2312"/>
                <w:sz w:val="21"/>
                <w:b/>
                <w:color w:val="000000"/>
              </w:rPr>
              <w:t>(7)施工现场情况、工程特点及拟定的投标施工组织设计或施工方案；</w:t>
            </w:r>
          </w:p>
          <w:p>
            <w:pPr>
              <w:pStyle w:val="null3"/>
              <w:ind w:firstLine="422"/>
              <w:jc w:val="both"/>
            </w:pPr>
            <w:r>
              <w:rPr>
                <w:rFonts w:ascii="仿宋_GB2312" w:hAnsi="仿宋_GB2312" w:cs="仿宋_GB2312" w:eastAsia="仿宋_GB2312"/>
                <w:sz w:val="21"/>
                <w:b/>
                <w:color w:val="000000"/>
              </w:rPr>
              <w:t>(8)与本项目有关的标准、规范、技术资料；</w:t>
            </w:r>
          </w:p>
          <w:p>
            <w:pPr>
              <w:pStyle w:val="null3"/>
              <w:ind w:firstLine="422"/>
              <w:jc w:val="both"/>
            </w:pPr>
            <w:r>
              <w:rPr>
                <w:rFonts w:ascii="仿宋_GB2312" w:hAnsi="仿宋_GB2312" w:cs="仿宋_GB2312" w:eastAsia="仿宋_GB2312"/>
                <w:sz w:val="21"/>
                <w:b/>
                <w:color w:val="000000"/>
              </w:rPr>
              <w:t>(9)其他的相关资料：</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1"/>
                <w:b/>
                <w:color w:val="000000"/>
                <w:u w:val="single"/>
              </w:rPr>
              <w:t>计价依据《陕西省建设工程工程量清单计价计算标准》（2025）、《陕西省市政工程基价表》（2025）、《陕西省市政工程消耗量定额》（2025）、《陕西省建设工程费用规则》（2025）、</w:t>
            </w:r>
            <w:r>
              <w:rPr>
                <w:rFonts w:ascii="仿宋_GB2312" w:hAnsi="仿宋_GB2312" w:cs="仿宋_GB2312" w:eastAsia="仿宋_GB2312"/>
                <w:sz w:val="21"/>
                <w:b/>
                <w:color w:val="000000"/>
                <w:u w:val="single"/>
              </w:rPr>
              <w:t>《陕西省建设工程施工机械台班费用定额》（2025）、《陕西省建设工程施工仪器仪表台班费用定额定额》（2025）、有关配套的计价文件</w:t>
            </w:r>
            <w:r>
              <w:rPr>
                <w:rFonts w:ascii="仿宋_GB2312" w:hAnsi="仿宋_GB2312" w:cs="仿宋_GB2312" w:eastAsia="仿宋_GB2312"/>
                <w:sz w:val="21"/>
                <w:b/>
                <w:color w:val="000000"/>
                <w:u w:val="single"/>
              </w:rPr>
              <w:t xml:space="preserve">及其有关的编制依据和办法、咸阳市工程造价信息价及市场调研价 </w:t>
            </w:r>
            <w:r>
              <w:rPr>
                <w:rFonts w:ascii="仿宋_GB2312" w:hAnsi="仿宋_GB2312" w:cs="仿宋_GB2312" w:eastAsia="仿宋_GB2312"/>
                <w:sz w:val="21"/>
                <w:color w:val="000000"/>
                <w:u w:val="single"/>
              </w:rPr>
              <w:t>。</w:t>
            </w:r>
          </w:p>
          <w:p>
            <w:pPr>
              <w:pStyle w:val="null3"/>
              <w:ind w:firstLine="420"/>
              <w:jc w:val="both"/>
            </w:pPr>
            <w:r>
              <w:rPr>
                <w:rFonts w:ascii="仿宋_GB2312" w:hAnsi="仿宋_GB2312" w:cs="仿宋_GB2312" w:eastAsia="仿宋_GB2312"/>
                <w:sz w:val="21"/>
                <w:color w:val="000000"/>
              </w:rPr>
              <w:t>2.4 工程量清单中的每一项目只允许有一个投标单价，供应商没有填入单价的项目，其费用视为已分摊在工程量清单中其他已标价的相关项目的单价或价格之中。</w:t>
            </w:r>
          </w:p>
          <w:p>
            <w:pPr>
              <w:pStyle w:val="null3"/>
              <w:ind w:firstLine="420"/>
              <w:jc w:val="both"/>
            </w:pPr>
            <w:r>
              <w:rPr>
                <w:rFonts w:ascii="仿宋_GB2312" w:hAnsi="仿宋_GB2312" w:cs="仿宋_GB2312" w:eastAsia="仿宋_GB2312"/>
                <w:sz w:val="21"/>
                <w:color w:val="000000"/>
              </w:rPr>
              <w:t>2.5 供应商可根据工程实际情况结合拟定的施工组织设计或施工方案，对采购人所列的措施项目进行增补或调整，并依据本节2.3项自主报价。项目结算时不得以响应文件施工组织设计与所报措施项目不符为由调整措施项目费。</w:t>
            </w:r>
          </w:p>
          <w:p>
            <w:pPr>
              <w:pStyle w:val="null3"/>
              <w:ind w:firstLine="420"/>
              <w:jc w:val="both"/>
            </w:pPr>
            <w:r>
              <w:rPr>
                <w:rFonts w:ascii="仿宋_GB2312" w:hAnsi="仿宋_GB2312" w:cs="仿宋_GB2312" w:eastAsia="仿宋_GB2312"/>
                <w:sz w:val="21"/>
                <w:color w:val="000000"/>
              </w:rPr>
              <w:t>2.6 本工程计价风险按以下原则由发包人和成交人分别承担：</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主要建筑材料、设备因市场价格波动导致的风险，约定幅度内的风险由承包人自主报价、自我承担，约定幅度外的风险由发包人承担，具体承担办法见合同主要条款。</w:t>
            </w:r>
          </w:p>
          <w:p>
            <w:pPr>
              <w:pStyle w:val="null3"/>
              <w:ind w:firstLine="420"/>
              <w:jc w:val="both"/>
            </w:pPr>
            <w:r>
              <w:rPr>
                <w:rFonts w:ascii="仿宋_GB2312" w:hAnsi="仿宋_GB2312" w:cs="仿宋_GB2312" w:eastAsia="仿宋_GB2312"/>
                <w:sz w:val="21"/>
                <w:color w:val="000000"/>
              </w:rPr>
              <w:t>施工用水、用电水的风险承担原则为：</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由</w:t>
            </w:r>
            <w:r>
              <w:rPr>
                <w:rFonts w:ascii="仿宋_GB2312" w:hAnsi="仿宋_GB2312" w:cs="仿宋_GB2312" w:eastAsia="仿宋_GB2312"/>
                <w:sz w:val="21"/>
                <w:color w:val="000000"/>
                <w:u w:val="single"/>
              </w:rPr>
              <w:t>成交</w:t>
            </w:r>
            <w:r>
              <w:rPr>
                <w:rFonts w:ascii="仿宋_GB2312" w:hAnsi="仿宋_GB2312" w:cs="仿宋_GB2312" w:eastAsia="仿宋_GB2312"/>
                <w:sz w:val="21"/>
                <w:color w:val="000000"/>
                <w:u w:val="single"/>
              </w:rPr>
              <w:t>人自行承担</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法律、法规及省级或省级以上行政主管部门规定的强制性价格调整导致的风险，由发包人承担；</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陕西省住房和城乡建设厅对我省工程量清单综合人工单价调整导致的风险，由发包人承担；</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承包人自主控制的管理费、利润等风险由承包人承担。</w:t>
            </w:r>
          </w:p>
          <w:p>
            <w:pPr>
              <w:pStyle w:val="null3"/>
              <w:ind w:firstLine="420"/>
              <w:jc w:val="both"/>
            </w:pPr>
            <w:r>
              <w:rPr>
                <w:rFonts w:ascii="仿宋_GB2312" w:hAnsi="仿宋_GB2312" w:cs="仿宋_GB2312" w:eastAsia="仿宋_GB2312"/>
                <w:sz w:val="21"/>
                <w:color w:val="000000"/>
              </w:rPr>
              <w:t>2.7 评标过程中发现供应商投标报价存在以下情形的，其报价无效，响应文件按废标处理，不再进行下一步评审：</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响应函与投标报价不一致的；</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已标价分部分项工程量清单与发包人提供的工程量清单不一致的；</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磋商总价与分部分项工程费、措施项目费、其他项目费、税金的合计金额不一致的；</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总价经评标委员会评审低于本项目成本价的；</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报价编制人不具备编制资格或未按要求签字盖章的；</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有竞争性磋商文件及相关法律法规规定的其他无效投标的情形的。</w:t>
            </w:r>
          </w:p>
          <w:p>
            <w:pPr>
              <w:pStyle w:val="null3"/>
              <w:ind w:firstLine="422"/>
              <w:jc w:val="both"/>
            </w:pPr>
            <w:r>
              <w:rPr>
                <w:rFonts w:ascii="仿宋_GB2312" w:hAnsi="仿宋_GB2312" w:cs="仿宋_GB2312" w:eastAsia="仿宋_GB2312"/>
                <w:sz w:val="21"/>
                <w:color w:val="000000"/>
              </w:rPr>
              <w:t>2.8 其他相关说明：无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成交供应商在领取成交通知书时提供响应文件纸质版（2份，建议双面打印）和电子版（U盘1份，U盘内包含与纸质版响应文件一致的word 版和pdf版响应文件、投标报价计价软件版本（电子投标书）。），应通过专用制作软件直接打印，确保与电子投标文件保持一致，不允许修改和补充。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财务审计报告（至少包括资产负债表和利润表，成立时间至提交响应文件截止时间不足一年的可提供成立后任意时段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提供法定代表人授权委托书（附法定代表人、被授权人身份证复印件）及被授权人身份证（法定代表人直接参加投标需提供法定代表人身份证明及其身份证）；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的财务审计报告（至少包括资产负债表和利润表，成立时间至提交响应文件截止时间不足一年的可提供成立后任意时段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提供2026年1月至响应文件提交截止日内任意一个月的纳税证明或完税证明（任意税种），依法免税的单位应提供相关证明材料；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提供2026年1月至响应文件提交截止日内任意一个月的社会保障资金缴存单据或社保机构开具的社会保险参保缴费情况证明，依法不需要缴纳社会保障资金的单位应提供相关证明材料；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拟派项目经理须具备市政公用工程专业二级（含二级）以上注册建造师资格，具有有效的安全生产考核合格证书，在本单位注册且无在建工程；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履行能力承诺函</w:t>
            </w:r>
          </w:p>
        </w:tc>
        <w:tc>
          <w:tcPr>
            <w:tcW w:type="dxa" w:w="3322"/>
          </w:tcPr>
          <w:p>
            <w:pPr>
              <w:pStyle w:val="null3"/>
            </w:pPr>
            <w:r>
              <w:rPr>
                <w:rFonts w:ascii="仿宋_GB2312" w:hAnsi="仿宋_GB2312" w:cs="仿宋_GB2312" w:eastAsia="仿宋_GB2312"/>
              </w:rPr>
              <w:t>具有履行合同所必需的设备和专业技术能力承诺函；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信用中国（www.creditchina.gov.cn）”重大税收违法失信主体名单；不得为“中国政府采购网（www.ccgp.gov.cn）”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供应商类似项目业绩情况表.docx 已标价工程量清单 中小企业声明函 施工组织设计.docx 商务和技术偏离表.docx 响应文件封面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响应文件的签署、盖章符合磋商文件要求</w:t>
            </w:r>
          </w:p>
        </w:tc>
        <w:tc>
          <w:tcPr>
            <w:tcW w:type="dxa" w:w="1661"/>
          </w:tcPr>
          <w:p>
            <w:pPr>
              <w:pStyle w:val="null3"/>
            </w:pPr>
            <w:r>
              <w:rPr>
                <w:rFonts w:ascii="仿宋_GB2312" w:hAnsi="仿宋_GB2312" w:cs="仿宋_GB2312" w:eastAsia="仿宋_GB2312"/>
              </w:rPr>
              <w:t>供应商类似项目业绩情况表.docx 已标价工程量清单 中小企业声明函 施工组织设计.docx 商务和技术偏离表.docx 响应文件封面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响应文件构成无重大缺项，按照磋商文件要求的格式编写响应文件。</w:t>
            </w:r>
          </w:p>
        </w:tc>
        <w:tc>
          <w:tcPr>
            <w:tcW w:type="dxa" w:w="1661"/>
          </w:tcPr>
          <w:p>
            <w:pPr>
              <w:pStyle w:val="null3"/>
            </w:pPr>
            <w:r>
              <w:rPr>
                <w:rFonts w:ascii="仿宋_GB2312" w:hAnsi="仿宋_GB2312" w:cs="仿宋_GB2312" w:eastAsia="仿宋_GB2312"/>
              </w:rPr>
              <w:t>供应商类似项目业绩情况表.docx 已标价工程量清单 中小企业声明函 施工组织设计.docx 商务和技术偏离表.docx 响应文件封面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磋商范围</w:t>
            </w:r>
          </w:p>
        </w:tc>
        <w:tc>
          <w:tcPr>
            <w:tcW w:type="dxa" w:w="3322"/>
          </w:tcPr>
          <w:p>
            <w:pPr>
              <w:pStyle w:val="null3"/>
            </w:pPr>
            <w:r>
              <w:rPr>
                <w:rFonts w:ascii="仿宋_GB2312" w:hAnsi="仿宋_GB2312" w:cs="仿宋_GB2312" w:eastAsia="仿宋_GB2312"/>
              </w:rPr>
              <w:t>响应本项目磋商范围，符合本项目磋商文件、合同要求。</w:t>
            </w:r>
          </w:p>
        </w:tc>
        <w:tc>
          <w:tcPr>
            <w:tcW w:type="dxa" w:w="1661"/>
          </w:tcPr>
          <w:p>
            <w:pPr>
              <w:pStyle w:val="null3"/>
            </w:pPr>
            <w:r>
              <w:rPr>
                <w:rFonts w:ascii="仿宋_GB2312" w:hAnsi="仿宋_GB2312" w:cs="仿宋_GB2312" w:eastAsia="仿宋_GB2312"/>
              </w:rPr>
              <w:t>已标价工程量清单 报价函 标的清单 响应函 施工组织设计.docx 商务和技术偏离表.docx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应满足磋商文件中对工期的要求（若需在线填写的工期单位为“日历天”的情形，工期可填120日历天。）</w:t>
            </w:r>
          </w:p>
        </w:tc>
        <w:tc>
          <w:tcPr>
            <w:tcW w:type="dxa" w:w="1661"/>
          </w:tcPr>
          <w:p>
            <w:pPr>
              <w:pStyle w:val="null3"/>
            </w:pPr>
            <w:r>
              <w:rPr>
                <w:rFonts w:ascii="仿宋_GB2312" w:hAnsi="仿宋_GB2312" w:cs="仿宋_GB2312" w:eastAsia="仿宋_GB2312"/>
              </w:rPr>
              <w:t>报价函 标的清单 施工组织设计.docx 商务和技术偏离表.docx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施工组织设计.docx 商务和技术偏离表.docx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施工组织设计.docx 商务和技术偏离表.docx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 商务和技术偏离表.docx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只能有一个有效报价，不得提交选择性报价，且没有低于成本价或高于本项目最高限价。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不含有采购人不能接受的附加条件</w:t>
            </w:r>
          </w:p>
        </w:tc>
        <w:tc>
          <w:tcPr>
            <w:tcW w:type="dxa" w:w="1661"/>
          </w:tcPr>
          <w:p>
            <w:pPr>
              <w:pStyle w:val="null3"/>
            </w:pPr>
            <w:r>
              <w:rPr>
                <w:rFonts w:ascii="仿宋_GB2312" w:hAnsi="仿宋_GB2312" w:cs="仿宋_GB2312" w:eastAsia="仿宋_GB2312"/>
              </w:rPr>
              <w:t>供应商应提交的相关资格证明材料.docx 施工组织设计.docx 商务和技术偏离表.docx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项目经理部的组成与职责</w:t>
            </w:r>
          </w:p>
        </w:tc>
        <w:tc>
          <w:tcPr>
            <w:tcW w:type="dxa" w:w="2492"/>
          </w:tcPr>
          <w:p>
            <w:pPr>
              <w:pStyle w:val="null3"/>
            </w:pPr>
            <w:r>
              <w:rPr>
                <w:rFonts w:ascii="仿宋_GB2312" w:hAnsi="仿宋_GB2312" w:cs="仿宋_GB2312" w:eastAsia="仿宋_GB2312"/>
              </w:rPr>
              <w:t>根据针对本项目提供的项目经理部组成人员进行综合评审，内容包含：组织机构设置、岗位分工及职责、团队人员资质和工作经验证明。 得分：1、针对本项目拟投入项目经理部组成人员结构合理，人员配备齐全，责任明确，佐证材料齐全得[4-6]分； 2、针对本项目拟投入项目经理部组成人员结构基本合理，人员配备基本齐全，责任基本明确，有相关佐证材料得[2-4)分； 3、针对本项目拟投入项目经理部组成人员内容笼统，可行性有待考究的，得[0-2)分。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针对项目实施过程，做出全面的施工部署，要求能够紧扣项目实际情况，内容科学合理。 得分：（1）施工部署科学合理，区段划分、工序统筹到位；总平面布置紧凑规范，功能分区清晰、贴合现场，可操作性强，得[4-6]分；（2）施工部署基本可行，总平面布置满足施工基本需求，布局无明显缺陷，细节略有不足，得[2-4)分；（3）施工部署不合理，总平面布局混乱、功能缺失，存在明显漏洞，无法指导现场施工，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供应商针对本项目编制施工方案，包含关键工序的施工方法及实施要点，切合本项目实际情况，提出步骤清晰、合理并具有可实施性的方案。 得分：（1）方案内容全面、具体、科学，可行性强，得[5-8]分；（2）方案内容基本全面、具体，可行性相对较弱，得[3-5)分；（3）方案内容不全面、具体，可行性较差，得[0-3)分。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针对本项目有具体的施工进度及工期保障措施，包括：提供施工进度表或施工网络图、建立进度控制体系、关键节点及重点难点分析、保证工期的技术组织措施。得分：（1）进度计划科学合理、节点清晰，保障措施全面可行，贴合工期要求、施工进度图合理，得[5-7]分； （2）进度计划基本合理，保障措施满足工期需求，无明显漏洞，有施工进度图，得[3-5)分； （3）进度计划混乱不合理，保障措施缺失，无法保障工期目标、无施工进度图，得[0-3)分。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针对本项目制定切实可行的施工质量保证措施，包括：总体质量控制目标、工程质量管理体系、质量管理措施，且对质量控制目标进行合理分解、规划，确保本项目质量标准符合该项目质量要求。 得分：（1）以上三项完整、有针对性、措施结合本项目实际情况、完全能够确保质量得[5-7]分；（2）措施结合本项目实际情况、基本合理、有一定的针对性，基本能够确保质量得[3-5)分；（3）以上三项不完整、内容简单笼统，无针对性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文明施工与环境保护体系与措施</w:t>
            </w:r>
          </w:p>
        </w:tc>
        <w:tc>
          <w:tcPr>
            <w:tcW w:type="dxa" w:w="2492"/>
          </w:tcPr>
          <w:p>
            <w:pPr>
              <w:pStyle w:val="null3"/>
            </w:pPr>
            <w:r>
              <w:rPr>
                <w:rFonts w:ascii="仿宋_GB2312" w:hAnsi="仿宋_GB2312" w:cs="仿宋_GB2312" w:eastAsia="仿宋_GB2312"/>
              </w:rPr>
              <w:t>针对本项目有文明施工及环境保护的技术措施，包括：文明施工管理目标及技术措施、具有针对性的文明施工现场管理、防尘降噪等环境保证措施。 得分：（1）文明施工与环境保护体系健全完善，防控措施全面到位，针对性强、贴合现场，可操作性高，得[5-7]分；（2）文明施工与环境保护体系基本完整，防控措施满足施工要求，无明显漏洞，得[3-5)分；（3）文明施工与环境保护体系不完整，防控措施缺失或无效，无法保障施工安全，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供应商针对本项目编制确保安全生产的技术组织措施，内容包含：安全生产制度、安全防护措施、安全教育培训制度。 得分：（1）方案内容具体、详细，合理可行，完全符合采购人安全作业的要求，得[5-7]分；（2）方案内容较详细、较完整，较合理可行，基本符合采购人安全作业的要求，得[3-5)分；（3）方案内容简单笼统，无针对性，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根据针对本项目提供的施工机械配备和材料投入计划进行综合评审。 1、机具设备数量充足，材料投入计划符合项目要求,与项目匹配度高，完全满足项目需要，得[4-6]分； 2、机具设备数量与项目基本匹配，材料投入计划基本满足项目需要，得[2-4)分； 3、机具设备配置简单，无针对性，材料投入计划无法确保满足项目需要，得[0-2)分。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根据针对本项目提供的劳动力安排计划进行综合评审。得分：（1）劳动力配置合理，专业性强，完全满足项目需要，能够确保项目顺利开展，得[4-6]分，（2）劳动力配置较合理，专业性较强，基本能够确保项目顺利开展，得[2-4）分，（3）劳动力配置简单，专业性、针对性欠缺，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提供2023年6月1日至今类似项目业绩，每个业绩计 2 分，满分 10分。（业绩资料提供合同复印件，复印件加盖公章。以合同签订日期为准。）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价格分统一采用低价优先法计算，即满足磋商文件要求且有效报价最低的供应商的价格为评标基准价，其价格分为满分。 其他供应商的价格分统一按照下列公式计算：报价得分=（基准价/最后供应商报价）×价格权值×100 ，计算分数时四舍五入取小数点后两位。 本项目为专门面向中小企业的项目，不给予价格折扣。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详见附件：商务和技术偏离表.docx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详见附件：供应商类似项目业绩情况表.docx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