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版本号：SX-JSZB(2026)-02020260831001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2026年度蒲城县兴镇公共照明项目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SX-JSZB(2026)-020</w:t>
      </w:r>
      <w:r>
        <w:br/>
      </w:r>
      <w:r>
        <w:br/>
      </w:r>
      <w:r>
        <w:br/>
      </w:r>
    </w:p>
    <w:p>
      <w:pPr>
        <w:pStyle w:val="null3"/>
        <w:jc w:val="center"/>
        <w:outlineLvl w:val="2"/>
      </w:pPr>
      <w:r>
        <w:rPr>
          <w:rFonts w:ascii="仿宋_GB2312" w:hAnsi="仿宋_GB2312" w:cs="仿宋_GB2312" w:eastAsia="仿宋_GB2312"/>
          <w:sz w:val="28"/>
          <w:b/>
        </w:rPr>
        <w:t>蒲城县兴镇人民政府</w:t>
      </w:r>
    </w:p>
    <w:p>
      <w:pPr>
        <w:pStyle w:val="null3"/>
        <w:jc w:val="center"/>
        <w:outlineLvl w:val="2"/>
      </w:pPr>
      <w:r>
        <w:rPr>
          <w:rFonts w:ascii="仿宋_GB2312" w:hAnsi="仿宋_GB2312" w:cs="仿宋_GB2312" w:eastAsia="仿宋_GB2312"/>
          <w:sz w:val="28"/>
          <w:b/>
        </w:rPr>
        <w:t>陕西巨思项目管理有限公司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陕西巨思项目管理有限公司</w:t>
      </w:r>
      <w:r>
        <w:rPr>
          <w:rFonts w:ascii="仿宋_GB2312" w:hAnsi="仿宋_GB2312" w:cs="仿宋_GB2312" w:eastAsia="仿宋_GB2312"/>
        </w:rPr>
        <w:t>（以下简称“代理机构”）受</w:t>
      </w:r>
      <w:r>
        <w:rPr>
          <w:rFonts w:ascii="仿宋_GB2312" w:hAnsi="仿宋_GB2312" w:cs="仿宋_GB2312" w:eastAsia="仿宋_GB2312"/>
        </w:rPr>
        <w:t>蒲城县兴镇人民政府</w:t>
      </w:r>
      <w:r>
        <w:rPr>
          <w:rFonts w:ascii="仿宋_GB2312" w:hAnsi="仿宋_GB2312" w:cs="仿宋_GB2312" w:eastAsia="仿宋_GB2312"/>
        </w:rPr>
        <w:t>委托，拟对</w:t>
      </w:r>
      <w:r>
        <w:rPr>
          <w:rFonts w:ascii="仿宋_GB2312" w:hAnsi="仿宋_GB2312" w:cs="仿宋_GB2312" w:eastAsia="仿宋_GB2312"/>
        </w:rPr>
        <w:t>2026年度蒲城县兴镇公共照明项目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SX-JSZB(2026)-020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2026年度蒲城县兴镇公共照明项目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兴镇巷道公共照明480盏路灯维修更换，其中兴西村30个，兴北村50个，兴东村42个，兴南村50个，良村50个，曹家村40个，寨子村18个，余兴村75个，桑楼村50个，化木村75个；为了不影响路灯使用及安全考虑，故砍伐树枝160株。（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采购包1（2026年度蒲城县兴镇公共照明项目）：属于专门面向中小企业采购。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2、财务状况报告：提供2025年度经审计完整的财务审计报告（成立时间至提交响应文件截止时间不足一年的可提供成立后任意时段的资产负债表）或截止磋商时间前三个月内由基本账户开户银行出具的资信证明；</w:t>
      </w:r>
    </w:p>
    <w:p>
      <w:pPr>
        <w:pStyle w:val="null3"/>
      </w:pPr>
      <w:r>
        <w:rPr>
          <w:rFonts w:ascii="仿宋_GB2312" w:hAnsi="仿宋_GB2312" w:cs="仿宋_GB2312" w:eastAsia="仿宋_GB2312"/>
        </w:rPr>
        <w:t>3、税收缴纳证明：提供投标截止日前6个月内已缴纳的至少一个月的纳税证明或完税证明（增值税或印花税等税种），依法免税的单位应提供相关证明材料；</w:t>
      </w:r>
    </w:p>
    <w:p>
      <w:pPr>
        <w:pStyle w:val="null3"/>
      </w:pPr>
      <w:r>
        <w:rPr>
          <w:rFonts w:ascii="仿宋_GB2312" w:hAnsi="仿宋_GB2312" w:cs="仿宋_GB2312" w:eastAsia="仿宋_GB2312"/>
        </w:rPr>
        <w:t>4、社会保障资金缴纳证明：提供投标截止日前6个月内已缴存的至少一个月的社会保障资金缴存单据或社保机构开具的社会保险参保缴费情况证明，依法不需要缴纳社会保障资金的单位应提供相关证明材料；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5、专业技术能力证明：提供具有履行合同所必需的设备和专业技术能力的承诺；</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7、法定代表人证明书或授权委托书：非法定代表人参加投标，须提供法定代表人授权委托书及被授权人身份证原件；法定代表人参加投标时,须提供法人身份证明书及法定代表人身份证原件；</w:t>
      </w:r>
    </w:p>
    <w:p>
      <w:pPr>
        <w:pStyle w:val="null3"/>
      </w:pPr>
      <w:r>
        <w:rPr>
          <w:rFonts w:ascii="仿宋_GB2312" w:hAnsi="仿宋_GB2312" w:cs="仿宋_GB2312" w:eastAsia="仿宋_GB2312"/>
        </w:rPr>
        <w:t>8、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9、中小企业：本项目为专门面向中小企业采购项目须根据《政府采购促进中小企业发展管理办法》（财库﹝2020﹞46号）的规定提供《中小企业声明函》；</w:t>
      </w:r>
    </w:p>
    <w:p>
      <w:pPr>
        <w:pStyle w:val="null3"/>
      </w:pPr>
      <w:r>
        <w:rPr>
          <w:rFonts w:ascii="仿宋_GB2312" w:hAnsi="仿宋_GB2312" w:cs="仿宋_GB2312" w:eastAsia="仿宋_GB2312"/>
        </w:rPr>
        <w:t>10、企业资质：供应商须具备市政公用工程施工总承包三级及以上资质或城市及道路照明工程专业承包三级及以上资质，且具备有效的安全生产许可证。</w:t>
      </w:r>
    </w:p>
    <w:p>
      <w:pPr>
        <w:pStyle w:val="null3"/>
      </w:pPr>
      <w:r>
        <w:rPr>
          <w:rFonts w:ascii="仿宋_GB2312" w:hAnsi="仿宋_GB2312" w:cs="仿宋_GB2312" w:eastAsia="仿宋_GB2312"/>
        </w:rPr>
        <w:t>11、拟派项目经理：拟派项目经理具备市政公用工程专业二级及以上注册建造师执业资格和有效的安全生产考核合格证书（B证），且未担任其他在建工程项目的项目经理（须提供无在建承诺）；</w:t>
      </w:r>
    </w:p>
    <w:p>
      <w:pPr>
        <w:pStyle w:val="null3"/>
      </w:pPr>
      <w:r>
        <w:rPr>
          <w:rFonts w:ascii="仿宋_GB2312" w:hAnsi="仿宋_GB2312" w:cs="仿宋_GB2312" w:eastAsia="仿宋_GB2312"/>
        </w:rPr>
        <w:t>12、禁止投标期：投标供应商及项目经理在全国建筑市场监管公共服务平台均未处于禁止投标期限内（提供查询截图）；</w:t>
      </w:r>
    </w:p>
    <w:p>
      <w:pPr>
        <w:pStyle w:val="null3"/>
      </w:pPr>
      <w:r>
        <w:rPr>
          <w:rFonts w:ascii="仿宋_GB2312" w:hAnsi="仿宋_GB2312" w:cs="仿宋_GB2312" w:eastAsia="仿宋_GB2312"/>
        </w:rPr>
        <w:t>13、其他要求：本项目不接受联合体投标，单位负责人为同一人或者存在控股、管理关系的不同单位不得同时投标。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蒲城县兴镇人民政府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715515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0913-7464156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陕西巨思项目管理有限公司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陕西省西安市经济技术开发区凤城八路158号20幢1单元6楼609室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董星、宋雯静、郑凌汐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19992817810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开户名称：陕西巨思项目管理有限公司</w:t>
            </w:r>
          </w:p>
          <w:p>
            <w:pPr>
              <w:pStyle w:val="null3"/>
            </w:pPr>
            <w:r>
              <w:rPr>
                <w:rFonts w:ascii="仿宋_GB2312" w:hAnsi="仿宋_GB2312" w:cs="仿宋_GB2312" w:eastAsia="仿宋_GB2312"/>
              </w:rPr>
              <w:t>开户银行：中国建设银行股份有限公司西安中央领郡支行</w:t>
            </w:r>
          </w:p>
          <w:p>
            <w:pPr>
              <w:pStyle w:val="null3"/>
            </w:pPr>
            <w:r>
              <w:rPr>
                <w:rFonts w:ascii="仿宋_GB2312" w:hAnsi="仿宋_GB2312" w:cs="仿宋_GB2312" w:eastAsia="仿宋_GB2312"/>
              </w:rPr>
              <w:t>银行账号：6105 0190 0042 0000 0459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收费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蒲城县兴镇人民政府</w:t>
      </w:r>
      <w:r>
        <w:rPr>
          <w:rFonts w:ascii="仿宋_GB2312" w:hAnsi="仿宋_GB2312" w:cs="仿宋_GB2312" w:eastAsia="仿宋_GB2312"/>
        </w:rPr>
        <w:t>和</w:t>
      </w:r>
      <w:r>
        <w:rPr>
          <w:rFonts w:ascii="仿宋_GB2312" w:hAnsi="仿宋_GB2312" w:cs="仿宋_GB2312" w:eastAsia="仿宋_GB2312"/>
        </w:rPr>
        <w:t>陕西巨思项目管理有限公司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陕西巨思项目管理有限公司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陕西巨思项目管理有限公司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相关的规范及行业验收规范、标准执行及《财政部关于进一步加强政府采购需求和覆约验收管理的指导意见》(财库[2016]205号)文件的规定、验收由采购人组织相关单位及专家组成验收组进行。验收标准按采购文件规定的要求和响应文件及合同承诺的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联系人：董星</w:t>
      </w:r>
    </w:p>
    <w:p>
      <w:pPr>
        <w:pStyle w:val="null3"/>
      </w:pPr>
      <w:r>
        <w:rPr>
          <w:rFonts w:ascii="仿宋_GB2312" w:hAnsi="仿宋_GB2312" w:cs="仿宋_GB2312" w:eastAsia="仿宋_GB2312"/>
        </w:rPr>
        <w:t>联系电话：19992817810</w:t>
      </w:r>
    </w:p>
    <w:p>
      <w:pPr>
        <w:pStyle w:val="null3"/>
      </w:pPr>
      <w:r>
        <w:rPr>
          <w:rFonts w:ascii="仿宋_GB2312" w:hAnsi="仿宋_GB2312" w:cs="仿宋_GB2312" w:eastAsia="仿宋_GB2312"/>
        </w:rPr>
        <w:t>地址：陕西省西安市经济技术开发区凤城八路158号20幢1单元6楼609室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599,645.42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2026年度蒲城县兴镇公共照明项目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标的名称：2026年度蒲城县兴镇公共照明项目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本工程为兴镇巷道公共照明480盏路灯维修更换，其中兴西村30个，兴北村50个，兴东村42个，兴南村50个，良村50个，曹家村40个，寨子村18个，余兴村75个，桑楼村50个，化木村75个；为了不影响路灯使用及安全考虑，故砍伐树枝160株。（具体详见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left"/>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1、本工程应按质按量完成工程全部内容。</w:t>
            </w:r>
          </w:p>
          <w:p>
            <w:pPr>
              <w:pStyle w:val="null3"/>
            </w:pPr>
            <w:r>
              <w:rPr>
                <w:rFonts w:ascii="仿宋_GB2312" w:hAnsi="仿宋_GB2312" w:cs="仿宋_GB2312" w:eastAsia="仿宋_GB2312"/>
              </w:rPr>
              <w:t>2、本工程验收标准应符合国家相关工程管理规定及行业相关标准要求。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0"/>
              <w:jc w:val="both"/>
            </w:pPr>
            <w:r>
              <w:rPr>
                <w:rFonts w:ascii="仿宋_GB2312" w:hAnsi="仿宋_GB2312" w:cs="仿宋_GB2312" w:eastAsia="仿宋_GB2312"/>
              </w:rPr>
              <w:t>三、工程指标的具体要求：</w:t>
            </w:r>
          </w:p>
          <w:p>
            <w:pPr>
              <w:pStyle w:val="null3"/>
            </w:pPr>
            <w:r>
              <w:rPr>
                <w:rFonts w:ascii="仿宋_GB2312" w:hAnsi="仿宋_GB2312" w:cs="仿宋_GB2312" w:eastAsia="仿宋_GB2312"/>
              </w:rPr>
              <w:t>1、质量标准：合格。</w:t>
            </w:r>
          </w:p>
          <w:p>
            <w:pPr>
              <w:pStyle w:val="null3"/>
            </w:pPr>
            <w:r>
              <w:rPr>
                <w:rFonts w:ascii="仿宋_GB2312" w:hAnsi="仿宋_GB2312" w:cs="仿宋_GB2312" w:eastAsia="仿宋_GB2312"/>
              </w:rPr>
              <w:t>2、工期：自合同签订之日起20日历天内竣工。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2.落实的政府采购政策： （1）《政府采购促进中小企业发展管理办法》（财库〔2020〕46号）； （2）《关于进一步加大政府采购支持中小企业力度的通知》（财库〔2022〕19号）； （3）《财政部司法部关于政府采购支持监狱企业发展有关问题的通知》（财库〔2014〕68号）； （4）《国务院办公厅关于建立政府强制采购节能产品制度的通知》（国办发〔2007〕51号）； （5）《关于印发环境标志产品政府采购品目清单的通知》（财库〔2019〕18号）； （6）《关于印发节能产品政府采购品目清单的通知》（财库〔2019〕19号）； （7）《关于促进残疾人就业政府采购政策的通知》财库〔2017〕141号； （8）《关于调整优化节能产品、环境标志产品政府采购执行机制的通知》（财库〔2019〕9号）； （9）《财政部农业农村部国家乡村振兴局关于运用政府采购政策支持乡村产业振兴的通知》（财库〔2021〕19号）； （10）《陕西省中小企业政府采购信用融资办法》（陕财办采〔2018〕23号）； （11）《陕西省财政厅关于加快推进我省中小企业政府采购信用融资工作的通知》（陕财办采〔2020〕15号）； （12）《陕西省财政厅关于进一步加强政府绿色采购有关问题的通知》（陕财办采〔2021〕29号）； （13）《关于推动解决政府采购异常低价问题的通知》--（财库【2026】2号）；（14）《国务院办公厅关于在政府采购中实施本国产品标准及相关政策的通知》--（国办发〔2025〕34号）；（15）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提供2025年度经审计完整的财务审计报告（成立时间至提交响应文件截止时间不足一年的可提供成立后任意时段的资产负债表）或截止磋商时间前三个月内由基本账户开户银行出具的资信证明；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提供2025年度经审计完整的财务审计报告（成立时间至提交响应文件截止时间不足一年的可提供成立后任意时段的资产负债表）或截止磋商时间前三个月内由基本账户开户银行出具的资信证明；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提供投标截止日前6个月内已缴纳的至少一个月的纳税证明或完税证明（增值税或印花税等税种），依法免税的单位应提供相关证明材料；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非法定代表人参加投标，须提供法定代表人授权委托书及被授权人身份证原件；法定代表人参加投标时,须提供法人身份证明书及法定代表人身份证原件；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本项目为专门面向中小企业采购项目须根据《政府采购促进中小企业发展管理办法》（财库﹝2020﹞46号）的规定提供《中小企业声明函》；</w:t>
            </w:r>
          </w:p>
        </w:tc>
        <w:tc>
          <w:tcPr>
            <w:tcW w:type="dxa" w:w="1661"/>
          </w:tcPr>
          <w:p>
            <w:pPr>
              <w:pStyle w:val="null3"/>
            </w:pPr>
            <w:r>
              <w:rPr>
                <w:rFonts w:ascii="仿宋_GB2312" w:hAnsi="仿宋_GB2312" w:cs="仿宋_GB2312" w:eastAsia="仿宋_GB2312"/>
              </w:rPr>
              <w:t>供应商应提交的相关资格证明材料.docx 中小企业声明函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供应商须具备市政公用工程施工总承包三级及以上资质或城市及道路照明工程专业承包三级及以上资质，且具备有效的安全生产许可证。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拟派项目经理具备市政公用工程专业二级及以上注册建造师执业资格和有效的安全生产考核合格证书（B证），且未担任其他在建工程项目的项目经理（须提供无在建承诺）；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禁止投标期</w:t>
            </w:r>
          </w:p>
        </w:tc>
        <w:tc>
          <w:tcPr>
            <w:tcW w:type="dxa" w:w="3322"/>
          </w:tcPr>
          <w:p>
            <w:pPr>
              <w:pStyle w:val="null3"/>
            </w:pPr>
            <w:r>
              <w:rPr>
                <w:rFonts w:ascii="仿宋_GB2312" w:hAnsi="仿宋_GB2312" w:cs="仿宋_GB2312" w:eastAsia="仿宋_GB2312"/>
              </w:rPr>
              <w:t>投标供应商及项目经理在全国建筑市场监管公共服务平台均未处于禁止投标期限内（提供查询截图）；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本项目不接受联合体投标，单位负责人为同一人或者存在控股、管理关系的不同单位不得同时投标。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与营业执照、资质证书、安全生产许可证一致</w:t>
            </w:r>
          </w:p>
        </w:tc>
        <w:tc>
          <w:tcPr>
            <w:tcW w:type="dxa" w:w="1661"/>
          </w:tcPr>
          <w:p>
            <w:pPr>
              <w:pStyle w:val="null3"/>
            </w:pPr>
            <w:r>
              <w:rPr>
                <w:rFonts w:ascii="仿宋_GB2312" w:hAnsi="仿宋_GB2312" w:cs="仿宋_GB2312" w:eastAsia="仿宋_GB2312"/>
              </w:rPr>
              <w:t>已标价工程量清单 中小企业声明函 总体施工方案.docx 保证金.docx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有法定代表人或委托代理人签字(或盖章)并加盖单位章，已标价工程量清单中须加盖造价人员章</w:t>
            </w:r>
          </w:p>
        </w:tc>
        <w:tc>
          <w:tcPr>
            <w:tcW w:type="dxa" w:w="1661"/>
          </w:tcPr>
          <w:p>
            <w:pPr>
              <w:pStyle w:val="null3"/>
            </w:pPr>
            <w:r>
              <w:rPr>
                <w:rFonts w:ascii="仿宋_GB2312" w:hAnsi="仿宋_GB2312" w:cs="仿宋_GB2312" w:eastAsia="仿宋_GB2312"/>
              </w:rPr>
              <w:t>已标价工程量清单 中小企业声明函 总体施工方案.docx 保证金.docx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响应文件格式与内容</w:t>
            </w:r>
          </w:p>
        </w:tc>
        <w:tc>
          <w:tcPr>
            <w:tcW w:type="dxa" w:w="3322"/>
          </w:tcPr>
          <w:p>
            <w:pPr>
              <w:pStyle w:val="null3"/>
            </w:pPr>
            <w:r>
              <w:rPr>
                <w:rFonts w:ascii="仿宋_GB2312" w:hAnsi="仿宋_GB2312" w:cs="仿宋_GB2312" w:eastAsia="仿宋_GB2312"/>
              </w:rPr>
              <w:t>符合采购文件及第六章“响应文件格式”的要求</w:t>
            </w:r>
          </w:p>
        </w:tc>
        <w:tc>
          <w:tcPr>
            <w:tcW w:type="dxa" w:w="1661"/>
          </w:tcPr>
          <w:p>
            <w:pPr>
              <w:pStyle w:val="null3"/>
            </w:pPr>
            <w:r>
              <w:rPr>
                <w:rFonts w:ascii="仿宋_GB2312" w:hAnsi="仿宋_GB2312" w:cs="仿宋_GB2312" w:eastAsia="仿宋_GB2312"/>
              </w:rPr>
              <w:t>已标价工程量清单 中小企业声明函 总体施工方案.docx 保证金.docx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报价唯一且未超过预算金额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工期、质量标准、响应有效期等符合采购文件要求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按照采购文件要求缴纳</w:t>
            </w:r>
          </w:p>
        </w:tc>
        <w:tc>
          <w:tcPr>
            <w:tcW w:type="dxa" w:w="1661"/>
          </w:tcPr>
          <w:p>
            <w:pPr>
              <w:pStyle w:val="null3"/>
            </w:pPr>
            <w:r>
              <w:rPr>
                <w:rFonts w:ascii="仿宋_GB2312" w:hAnsi="仿宋_GB2312" w:cs="仿宋_GB2312" w:eastAsia="仿宋_GB2312"/>
              </w:rPr>
              <w:t>保证金.docx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重点难点分析及对策</w:t>
            </w:r>
          </w:p>
        </w:tc>
        <w:tc>
          <w:tcPr>
            <w:tcW w:type="dxa" w:w="2492"/>
          </w:tcPr>
          <w:p>
            <w:pPr>
              <w:pStyle w:val="null3"/>
            </w:pPr>
            <w:r>
              <w:rPr>
                <w:rFonts w:ascii="仿宋_GB2312" w:hAnsi="仿宋_GB2312" w:cs="仿宋_GB2312" w:eastAsia="仿宋_GB2312"/>
              </w:rPr>
              <w:t>供应商针对本项目的实际情况，对项目的重点难点分析及对策：包括但不限于①对项目实施重点、难点的分析、②合理化建议、③解决方案；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供应商针对本项目的施工方案：包括但不限于①施工现场布置；②施工总体思路；③主要分部分项工程施工工艺；④施工质量控制措施；⑤季节性施工保障措施。 满分10分。每有一项缺项扣2分；每有一处内容存在缺陷，扣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项目目标</w:t>
            </w:r>
          </w:p>
        </w:tc>
        <w:tc>
          <w:tcPr>
            <w:tcW w:type="dxa" w:w="2492"/>
          </w:tcPr>
          <w:p>
            <w:pPr>
              <w:pStyle w:val="null3"/>
            </w:pPr>
            <w:r>
              <w:rPr>
                <w:rFonts w:ascii="仿宋_GB2312" w:hAnsi="仿宋_GB2312" w:cs="仿宋_GB2312" w:eastAsia="仿宋_GB2312"/>
              </w:rPr>
              <w:t>供应商针对本项目的项目目标：包括但不限于①质量目标、 ②工期目标、③安全目标、④文明环保施工目标； 满分 8 分。每有一项缺项扣 2 分；每有一处内容存在缺陷，扣1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施工组织计划</w:t>
            </w:r>
          </w:p>
        </w:tc>
        <w:tc>
          <w:tcPr>
            <w:tcW w:type="dxa" w:w="2492"/>
          </w:tcPr>
          <w:p>
            <w:pPr>
              <w:pStyle w:val="null3"/>
            </w:pPr>
            <w:r>
              <w:rPr>
                <w:rFonts w:ascii="仿宋_GB2312" w:hAnsi="仿宋_GB2312" w:cs="仿宋_GB2312" w:eastAsia="仿宋_GB2312"/>
              </w:rPr>
              <w:t>供应商针对本项目的施工组织计划：包括但不限于①施工进度计划及保障措施、②交叉作业的协调方案、③新技术、新工艺、新工法应用；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供应商针对本项目的安全生产技术组织措施：包括但不限于①安全生产管理制度；②配置安全组织机构；③安全隐患排查、整改制度；④应急保障预案等。 满分8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1.学历：项目经理具有本科及以上学历的加4分，大专学历的加2分； 2.业绩：项目经理有类似业绩（2023 年1月至今）一个得2分，最高得6分，以中标通知书或合同为准。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组织机构配置</w:t>
            </w:r>
          </w:p>
        </w:tc>
        <w:tc>
          <w:tcPr>
            <w:tcW w:type="dxa" w:w="2492"/>
          </w:tcPr>
          <w:p>
            <w:pPr>
              <w:pStyle w:val="null3"/>
            </w:pPr>
            <w:r>
              <w:rPr>
                <w:rFonts w:ascii="仿宋_GB2312" w:hAnsi="仿宋_GB2312" w:cs="仿宋_GB2312" w:eastAsia="仿宋_GB2312"/>
              </w:rPr>
              <w:t>组织机构配置除项目经理以外，还应当包括（安全员、材料员、施工员、资料员）等岗位。有相应岗位证书齐全的得12分，每缺少1个扣3分。未提供不得分。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提供近三年（2023年1月至今）签署的类似项目业绩。每提供一项得2分（以加盖公章的中标通知书或合同复印件为准），满分10分。未提供不得分。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详见附件：总体施工方案.docx</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