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版本号：ZYZH2026-03220260723001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略阳天津高级中学2026年“组团式”帮扶教学及设施能力提升项目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ZYZH2026-032</w:t>
      </w:r>
      <w:r>
        <w:br/>
      </w:r>
      <w:r>
        <w:br/>
      </w:r>
      <w:r>
        <w:br/>
      </w:r>
    </w:p>
    <w:p>
      <w:pPr>
        <w:pStyle w:val="null3"/>
        <w:jc w:val="center"/>
        <w:outlineLvl w:val="2"/>
      </w:pPr>
      <w:r>
        <w:rPr>
          <w:rFonts w:ascii="仿宋_GB2312" w:hAnsi="仿宋_GB2312" w:cs="仿宋_GB2312" w:eastAsia="仿宋_GB2312"/>
          <w:sz w:val="28"/>
          <w:b/>
        </w:rPr>
        <w:t>略阳县天津高级中学</w:t>
      </w:r>
    </w:p>
    <w:p>
      <w:pPr>
        <w:pStyle w:val="null3"/>
        <w:jc w:val="center"/>
        <w:outlineLvl w:val="2"/>
      </w:pPr>
      <w:r>
        <w:rPr>
          <w:rFonts w:ascii="仿宋_GB2312" w:hAnsi="仿宋_GB2312" w:cs="仿宋_GB2312" w:eastAsia="仿宋_GB2312"/>
          <w:sz w:val="28"/>
          <w:b/>
        </w:rPr>
        <w:t>中亿正恒工程管理有限公司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中亿正恒工程管理有限公司</w:t>
      </w:r>
      <w:r>
        <w:rPr>
          <w:rFonts w:ascii="仿宋_GB2312" w:hAnsi="仿宋_GB2312" w:cs="仿宋_GB2312" w:eastAsia="仿宋_GB2312"/>
        </w:rPr>
        <w:t>（以下简称“代理机构”）受</w:t>
      </w:r>
      <w:r>
        <w:rPr>
          <w:rFonts w:ascii="仿宋_GB2312" w:hAnsi="仿宋_GB2312" w:cs="仿宋_GB2312" w:eastAsia="仿宋_GB2312"/>
        </w:rPr>
        <w:t>略阳县天津高级中学</w:t>
      </w:r>
      <w:r>
        <w:rPr>
          <w:rFonts w:ascii="仿宋_GB2312" w:hAnsi="仿宋_GB2312" w:cs="仿宋_GB2312" w:eastAsia="仿宋_GB2312"/>
        </w:rPr>
        <w:t>委托，拟对</w:t>
      </w:r>
      <w:r>
        <w:rPr>
          <w:rFonts w:ascii="仿宋_GB2312" w:hAnsi="仿宋_GB2312" w:cs="仿宋_GB2312" w:eastAsia="仿宋_GB2312"/>
        </w:rPr>
        <w:t>略阳天津高级中学2026年“组团式”帮扶教学及设施能力提升项目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ZYZH2026-032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略阳天津高级中学2026年“组团式”帮扶教学及设施能力提升项目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建设智慧校园，其中包含校园监控设备升级和扩容、教育教学管理系统建设、校园网全域升级体育馆艺术展演平台设备、高考考点建设电子时钟系统设备;2.购置图书并配备管理系统;3购置体育训练中心设备设施器材以及智慧体测试系统;4.购置空调;5.开展教师培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4、投标人需具备《中华人民共和国出版物经营许可证》：投标人需具备《中华人民共和国出版物经营许可证》</w:t>
      </w:r>
    </w:p>
    <w:p>
      <w:pPr>
        <w:pStyle w:val="null3"/>
      </w:pPr>
      <w:r>
        <w:rPr>
          <w:rFonts w:ascii="仿宋_GB2312" w:hAnsi="仿宋_GB2312" w:cs="仿宋_GB2312" w:eastAsia="仿宋_GB2312"/>
        </w:rPr>
        <w:t>5、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4、投标人需具有机电工程施工总承包三级(或建筑机电安装工程专业承包三级)及以上资质；拟派项⽬经理具备机电工程专业(含⼆级)以上 注册建造师资格，并具有相关主管部门颁发的B类安全⽣产考核合格证书，且未担任其他在建⼯程的项⽬经理，⽆不良记录。：投标人需具有机电工程施工总承包三级(或建筑机电安装工程专业承包三级)及以上资质；拟派项⽬经理具备机电工程专业(含⼆级)以上 注册建造师资格，并具有相关主管部门颁发的B类安全⽣产考核合格证书，且未担任其他在建⼯程的项⽬经理，⽆不良记录。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略阳县天津高级中学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略阳县接官亭镇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0916-4833252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中亿正恒工程管理有限公司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河南省郑州市郑州高新技术产业开发区西三环河南省大学科技园（东区）18号楼B座5层501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450000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18149292897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采购包1：5,399,650.00元</w:t>
            </w:r>
          </w:p>
          <w:p>
            <w:pPr>
              <w:pStyle w:val="null3"/>
            </w:pPr>
            <w:r>
              <w:rPr>
                <w:rFonts w:ascii="仿宋_GB2312" w:hAnsi="仿宋_GB2312" w:cs="仿宋_GB2312" w:eastAsia="仿宋_GB2312"/>
              </w:rPr>
              <w:t>采购包2：2,200,350.00元</w:t>
            </w:r>
          </w:p>
          <w:p>
            <w:pPr>
              <w:pStyle w:val="null3"/>
            </w:pPr>
            <w:r>
              <w:rPr>
                <w:rFonts w:ascii="仿宋_GB2312" w:hAnsi="仿宋_GB2312" w:cs="仿宋_GB2312" w:eastAsia="仿宋_GB2312"/>
              </w:rPr>
              <w:t>采购包3：500,000.00元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采购包1保证金金额：63,000.00元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开户名称：中亿正恒工程管理有限公司陕西分公司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银行账号：103713630342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说明：在签订合同前供应商应按签约合同价的3%缴纳履约保证金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说明：在签订合同前供应商应按签约合同价的3%缴纳履约保证金</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开户名称：中亿正恒工程管理有限公司陕西分公司 开户银行：中国银行股份有限公司汉中莲湖路支行 银行账号：103713630342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略阳县天津高级中学</w:t>
      </w:r>
      <w:r>
        <w:rPr>
          <w:rFonts w:ascii="仿宋_GB2312" w:hAnsi="仿宋_GB2312" w:cs="仿宋_GB2312" w:eastAsia="仿宋_GB2312"/>
        </w:rPr>
        <w:t>和</w:t>
      </w:r>
      <w:r>
        <w:rPr>
          <w:rFonts w:ascii="仿宋_GB2312" w:hAnsi="仿宋_GB2312" w:cs="仿宋_GB2312" w:eastAsia="仿宋_GB2312"/>
        </w:rPr>
        <w:t>中亿正恒工程管理有限公司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略阳县天津高级中学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中亿正恒工程管理有限公司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略阳县天津高级中学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中亿正恒工程管理有限公司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联系电话：18149292897</w:t>
      </w:r>
    </w:p>
    <w:p>
      <w:pPr>
        <w:pStyle w:val="null3"/>
      </w:pPr>
      <w:r>
        <w:rPr>
          <w:rFonts w:ascii="仿宋_GB2312" w:hAnsi="仿宋_GB2312" w:cs="仿宋_GB2312" w:eastAsia="仿宋_GB2312"/>
        </w:rPr>
        <w:t>地址：汉中市汉台区竹园天玺办公楼16楼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建设智慧校园，其中包含校园监控设备升级和扩容、教育教学管理系统建设、校园网全域升级体育馆艺术展演平台设备、高考考点建设电子时钟系统设备;2.购置图书并配备管理系统；3购置体育训练中心设备设施器材以及智慧体测试系统；4.购置空调；5.开展教师培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5,399,650.00</w:t>
      </w:r>
    </w:p>
    <w:p>
      <w:pPr>
        <w:pStyle w:val="null3"/>
      </w:pPr>
      <w:r>
        <w:rPr>
          <w:rFonts w:ascii="仿宋_GB2312" w:hAnsi="仿宋_GB2312" w:cs="仿宋_GB2312" w:eastAsia="仿宋_GB2312"/>
        </w:rPr>
        <w:t>采购包最高限价（元）: 5,249,650.00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5399650.00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5,399,650.00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2,200,350.00</w:t>
      </w:r>
    </w:p>
    <w:p>
      <w:pPr>
        <w:pStyle w:val="null3"/>
      </w:pPr>
      <w:r>
        <w:rPr>
          <w:rFonts w:ascii="仿宋_GB2312" w:hAnsi="仿宋_GB2312" w:cs="仿宋_GB2312" w:eastAsia="仿宋_GB2312"/>
        </w:rPr>
        <w:t>采购包最高限价（元）: 2,150,350.00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2200350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2,200,350.00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标的名称：5399650.00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详见附件1及附件2</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标的名称：2200350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both"/>
            </w:pPr>
            <w:r>
              <w:rPr>
                <w:rFonts w:ascii="仿宋_GB2312" w:hAnsi="仿宋_GB2312" w:cs="仿宋_GB2312" w:eastAsia="仿宋_GB2312"/>
                <w:sz w:val="24"/>
              </w:rPr>
              <w:t>重要说明</w:t>
            </w:r>
            <w:r>
              <w:rPr>
                <w:rFonts w:ascii="仿宋_GB2312" w:hAnsi="仿宋_GB2312" w:cs="仿宋_GB2312" w:eastAsia="仿宋_GB2312"/>
                <w:sz w:val="24"/>
              </w:rPr>
              <w:t>:</w:t>
            </w:r>
          </w:p>
          <w:p>
            <w:pPr>
              <w:pStyle w:val="null3"/>
              <w:spacing w:before="345" w:after="330"/>
              <w:jc w:val="both"/>
            </w:pPr>
            <w:r>
              <w:rPr>
                <w:rFonts w:ascii="仿宋_GB2312" w:hAnsi="仿宋_GB2312" w:cs="仿宋_GB2312" w:eastAsia="仿宋_GB2312"/>
                <w:sz w:val="24"/>
              </w:rPr>
              <w:t>(1)下述标注“▲”的条款为允许负偏离；投标文件中提供相关证明材料，证明材料包括：产品彩页、功能界面截图、厂家官网功能截图、生产厂家出具的产品参数说明文件、第三方检测报告，提供其中之一即可（下述技术参数及要求中已明确提供证明材料要求的，按下述技术参数及要求执行)未提供或提供的证明材料不满足参数要求的视为不满足招标文件要求。</w:t>
            </w:r>
          </w:p>
          <w:p>
            <w:pPr>
              <w:pStyle w:val="null3"/>
              <w:spacing w:before="345" w:after="330"/>
              <w:jc w:val="both"/>
            </w:pPr>
            <w:r>
              <w:rPr>
                <w:rFonts w:ascii="仿宋_GB2312" w:hAnsi="仿宋_GB2312" w:cs="仿宋_GB2312" w:eastAsia="仿宋_GB2312"/>
                <w:sz w:val="24"/>
              </w:rPr>
              <w:t>(3)投标人在投标文件中必须如实的填写所投产品的参数响应情况。中标后如发现投标人虚假响应，其所投产品任一实际技术参数与投标时响应不符，或在合同履行中发现投标人在投标时虚假响应，所供产品任一实际技术参数与投标时响应不符，采购人将上报政府采购监督部门依法处理。</w:t>
            </w:r>
          </w:p>
          <w:tbl>
            <w:tblPr>
              <w:tblInd w:type="dxa" w:w="90"/>
              <w:tblBorders>
                <w:top w:val="none" w:color="000000" w:sz="4"/>
                <w:left w:val="none" w:color="000000" w:sz="4"/>
                <w:bottom w:val="none" w:color="000000" w:sz="4"/>
                <w:right w:val="none" w:color="000000" w:sz="4"/>
                <w:insideH w:val="none"/>
                <w:insideV w:val="none"/>
              </w:tblBorders>
            </w:tblPr>
            <w:tblGrid>
              <w:gridCol w:w="359"/>
              <w:gridCol w:w="359"/>
              <w:gridCol w:w="1111"/>
              <w:gridCol w:w="359"/>
              <w:gridCol w:w="359"/>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技术参数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参数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学生宿舍挂机空调</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▲1.能效级别:一级</w:t>
                  </w:r>
                  <w:r>
                    <w:br/>
                  </w:r>
                  <w:r>
                    <w:rPr>
                      <w:rFonts w:ascii="仿宋_GB2312" w:hAnsi="仿宋_GB2312" w:cs="仿宋_GB2312" w:eastAsia="仿宋_GB2312"/>
                      <w:sz w:val="22"/>
                      <w:color w:val="000000"/>
                    </w:rPr>
                    <w:t>2.冷量W:≥3510</w:t>
                  </w:r>
                  <w:r>
                    <w:br/>
                  </w:r>
                  <w:r>
                    <w:rPr>
                      <w:rFonts w:ascii="仿宋_GB2312" w:hAnsi="仿宋_GB2312" w:cs="仿宋_GB2312" w:eastAsia="仿宋_GB2312"/>
                      <w:sz w:val="22"/>
                      <w:color w:val="000000"/>
                    </w:rPr>
                    <w:t>3.制热量W:≥5010</w:t>
                  </w:r>
                  <w:r>
                    <w:br/>
                  </w:r>
                  <w:r>
                    <w:rPr>
                      <w:rFonts w:ascii="仿宋_GB2312" w:hAnsi="仿宋_GB2312" w:cs="仿宋_GB2312" w:eastAsia="仿宋_GB2312"/>
                      <w:sz w:val="22"/>
                      <w:color w:val="000000"/>
                    </w:rPr>
                    <w:t>4.制冷功率W:≤845</w:t>
                  </w:r>
                  <w:r>
                    <w:br/>
                  </w:r>
                  <w:r>
                    <w:rPr>
                      <w:rFonts w:ascii="仿宋_GB2312" w:hAnsi="仿宋_GB2312" w:cs="仿宋_GB2312" w:eastAsia="仿宋_GB2312"/>
                      <w:sz w:val="22"/>
                      <w:color w:val="000000"/>
                    </w:rPr>
                    <w:t>5.制热功率W:≤1240</w:t>
                  </w:r>
                  <w:r>
                    <w:br/>
                  </w:r>
                  <w:r>
                    <w:rPr>
                      <w:rFonts w:ascii="仿宋_GB2312" w:hAnsi="仿宋_GB2312" w:cs="仿宋_GB2312" w:eastAsia="仿宋_GB2312"/>
                      <w:sz w:val="22"/>
                      <w:color w:val="000000"/>
                    </w:rPr>
                    <w:t>6.电压:220V/50HZ</w:t>
                  </w:r>
                  <w:r>
                    <w:br/>
                  </w:r>
                  <w:r>
                    <w:rPr>
                      <w:rFonts w:ascii="仿宋_GB2312" w:hAnsi="仿宋_GB2312" w:cs="仿宋_GB2312" w:eastAsia="仿宋_GB2312"/>
                      <w:sz w:val="22"/>
                      <w:color w:val="000000"/>
                    </w:rPr>
                    <w:t>▲7.循环风量:≥800m3/h</w:t>
                  </w:r>
                  <w:r>
                    <w:br/>
                  </w:r>
                  <w:r>
                    <w:rPr>
                      <w:rFonts w:ascii="仿宋_GB2312" w:hAnsi="仿宋_GB2312" w:cs="仿宋_GB2312" w:eastAsia="仿宋_GB2312"/>
                      <w:sz w:val="22"/>
                      <w:color w:val="000000"/>
                    </w:rPr>
                    <w:t>8.APF值:≥5.20</w:t>
                  </w:r>
                  <w:r>
                    <w:br/>
                  </w:r>
                  <w:r>
                    <w:rPr>
                      <w:rFonts w:ascii="仿宋_GB2312" w:hAnsi="仿宋_GB2312" w:cs="仿宋_GB2312" w:eastAsia="仿宋_GB2312"/>
                      <w:sz w:val="22"/>
                      <w:color w:val="000000"/>
                    </w:rPr>
                    <w:t>▲9.室内机噪音dB(A):≤18-35-41(静音-</w:t>
                  </w:r>
                  <w:r>
                    <w:br/>
                  </w:r>
                  <w:r>
                    <w:rPr>
                      <w:rFonts w:ascii="仿宋_GB2312" w:hAnsi="仿宋_GB2312" w:cs="仿宋_GB2312" w:eastAsia="仿宋_GB2312"/>
                      <w:sz w:val="22"/>
                      <w:color w:val="000000"/>
                    </w:rPr>
                    <w:t>高</w:t>
                  </w:r>
                  <w:r>
                    <w:rPr>
                      <w:rFonts w:ascii="仿宋_GB2312" w:hAnsi="仿宋_GB2312" w:cs="仿宋_GB2312" w:eastAsia="仿宋_GB2312"/>
                      <w:sz w:val="22"/>
                      <w:color w:val="000000"/>
                    </w:rPr>
                    <w:t>-超强)</w:t>
                  </w:r>
                  <w:r>
                    <w:br/>
                  </w:r>
                  <w:r>
                    <w:rPr>
                      <w:rFonts w:ascii="仿宋_GB2312" w:hAnsi="仿宋_GB2312" w:cs="仿宋_GB2312" w:eastAsia="仿宋_GB2312"/>
                      <w:sz w:val="22"/>
                      <w:color w:val="000000"/>
                    </w:rPr>
                    <w:t>10.控制:遥控</w:t>
                  </w:r>
                  <w:r>
                    <w:br/>
                  </w:r>
                  <w:r>
                    <w:rPr>
                      <w:rFonts w:ascii="仿宋_GB2312" w:hAnsi="仿宋_GB2312" w:cs="仿宋_GB2312" w:eastAsia="仿宋_GB2312"/>
                      <w:sz w:val="22"/>
                      <w:color w:val="000000"/>
                    </w:rPr>
                    <w:t>11.风档:多档调速；</w:t>
                  </w:r>
                  <w:r>
                    <w:br/>
                  </w:r>
                  <w:r>
                    <w:rPr>
                      <w:rFonts w:ascii="仿宋_GB2312" w:hAnsi="仿宋_GB2312" w:cs="仿宋_GB2312" w:eastAsia="仿宋_GB2312"/>
                      <w:sz w:val="22"/>
                      <w:color w:val="000000"/>
                    </w:rPr>
                    <w:t>12.控温:0.5°调节</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教师办公室柜机</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▲1.能效级别:一级</w:t>
                  </w:r>
                  <w:r>
                    <w:br/>
                  </w:r>
                  <w:r>
                    <w:rPr>
                      <w:rFonts w:ascii="仿宋_GB2312" w:hAnsi="仿宋_GB2312" w:cs="仿宋_GB2312" w:eastAsia="仿宋_GB2312"/>
                      <w:sz w:val="22"/>
                      <w:color w:val="000000"/>
                    </w:rPr>
                    <w:t>2.冷量W:≥7350</w:t>
                  </w:r>
                  <w:r>
                    <w:br/>
                  </w:r>
                  <w:r>
                    <w:rPr>
                      <w:rFonts w:ascii="仿宋_GB2312" w:hAnsi="仿宋_GB2312" w:cs="仿宋_GB2312" w:eastAsia="仿宋_GB2312"/>
                      <w:sz w:val="22"/>
                      <w:color w:val="000000"/>
                    </w:rPr>
                    <w:t>3.制热量W:≥10000</w:t>
                  </w:r>
                  <w:r>
                    <w:br/>
                  </w:r>
                  <w:r>
                    <w:rPr>
                      <w:rFonts w:ascii="仿宋_GB2312" w:hAnsi="仿宋_GB2312" w:cs="仿宋_GB2312" w:eastAsia="仿宋_GB2312"/>
                      <w:sz w:val="22"/>
                      <w:color w:val="000000"/>
                    </w:rPr>
                    <w:t>4.制冷功率W:≤1945</w:t>
                  </w:r>
                  <w:r>
                    <w:br/>
                  </w:r>
                  <w:r>
                    <w:rPr>
                      <w:rFonts w:ascii="仿宋_GB2312" w:hAnsi="仿宋_GB2312" w:cs="仿宋_GB2312" w:eastAsia="仿宋_GB2312"/>
                      <w:sz w:val="22"/>
                      <w:color w:val="000000"/>
                    </w:rPr>
                    <w:t>5.制热功率W:≤2850</w:t>
                  </w:r>
                  <w:r>
                    <w:br/>
                  </w:r>
                  <w:r>
                    <w:rPr>
                      <w:rFonts w:ascii="仿宋_GB2312" w:hAnsi="仿宋_GB2312" w:cs="仿宋_GB2312" w:eastAsia="仿宋_GB2312"/>
                      <w:sz w:val="22"/>
                      <w:color w:val="000000"/>
                    </w:rPr>
                    <w:t>6.电压:220V/50HZ</w:t>
                  </w:r>
                  <w:r>
                    <w:br/>
                  </w:r>
                  <w:r>
                    <w:rPr>
                      <w:rFonts w:ascii="仿宋_GB2312" w:hAnsi="仿宋_GB2312" w:cs="仿宋_GB2312" w:eastAsia="仿宋_GB2312"/>
                      <w:sz w:val="22"/>
                      <w:color w:val="000000"/>
                    </w:rPr>
                    <w:t>▲7.循环风量:≥1600m/h</w:t>
                  </w:r>
                  <w:r>
                    <w:br/>
                  </w:r>
                  <w:r>
                    <w:rPr>
                      <w:rFonts w:ascii="仿宋_GB2312" w:hAnsi="仿宋_GB2312" w:cs="仿宋_GB2312" w:eastAsia="仿宋_GB2312"/>
                      <w:sz w:val="22"/>
                      <w:color w:val="000000"/>
                    </w:rPr>
                    <w:t>8.APF值:≥4.70</w:t>
                  </w:r>
                  <w:r>
                    <w:br/>
                  </w:r>
                  <w:r>
                    <w:rPr>
                      <w:rFonts w:ascii="仿宋_GB2312" w:hAnsi="仿宋_GB2312" w:cs="仿宋_GB2312" w:eastAsia="仿宋_GB2312"/>
                      <w:sz w:val="22"/>
                      <w:color w:val="000000"/>
                    </w:rPr>
                    <w:t>▲9.室内机噪音 dB(A):≤22-42-47(静音-</w:t>
                  </w:r>
                  <w:r>
                    <w:br/>
                  </w:r>
                  <w:r>
                    <w:rPr>
                      <w:rFonts w:ascii="仿宋_GB2312" w:hAnsi="仿宋_GB2312" w:cs="仿宋_GB2312" w:eastAsia="仿宋_GB2312"/>
                      <w:sz w:val="22"/>
                      <w:color w:val="000000"/>
                    </w:rPr>
                    <w:t>高</w:t>
                  </w:r>
                  <w:r>
                    <w:rPr>
                      <w:rFonts w:ascii="仿宋_GB2312" w:hAnsi="仿宋_GB2312" w:cs="仿宋_GB2312" w:eastAsia="仿宋_GB2312"/>
                      <w:sz w:val="22"/>
                      <w:color w:val="000000"/>
                    </w:rPr>
                    <w:t>-超强)</w:t>
                  </w:r>
                  <w:r>
                    <w:br/>
                  </w:r>
                  <w:r>
                    <w:rPr>
                      <w:rFonts w:ascii="仿宋_GB2312" w:hAnsi="仿宋_GB2312" w:cs="仿宋_GB2312" w:eastAsia="仿宋_GB2312"/>
                      <w:sz w:val="22"/>
                      <w:color w:val="000000"/>
                    </w:rPr>
                    <w:t>10.控制:遥控/按键</w:t>
                  </w:r>
                  <w:r>
                    <w:br/>
                  </w:r>
                  <w:r>
                    <w:rPr>
                      <w:rFonts w:ascii="仿宋_GB2312" w:hAnsi="仿宋_GB2312" w:cs="仿宋_GB2312" w:eastAsia="仿宋_GB2312"/>
                      <w:sz w:val="22"/>
                      <w:color w:val="000000"/>
                    </w:rPr>
                    <w:t>11.风档:多档调速</w:t>
                  </w:r>
                  <w:r>
                    <w:br/>
                  </w:r>
                  <w:r>
                    <w:rPr>
                      <w:rFonts w:ascii="仿宋_GB2312" w:hAnsi="仿宋_GB2312" w:cs="仿宋_GB2312" w:eastAsia="仿宋_GB2312"/>
                      <w:sz w:val="22"/>
                      <w:color w:val="000000"/>
                    </w:rPr>
                    <w:t>12.控温:0.5°调节</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教师公寓挂机空调</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▲1.能效级别:一级</w:t>
                  </w:r>
                  <w:r>
                    <w:br/>
                  </w:r>
                  <w:r>
                    <w:rPr>
                      <w:rFonts w:ascii="仿宋_GB2312" w:hAnsi="仿宋_GB2312" w:cs="仿宋_GB2312" w:eastAsia="仿宋_GB2312"/>
                      <w:sz w:val="22"/>
                      <w:color w:val="000000"/>
                    </w:rPr>
                    <w:t>2.冷量W:≥3510</w:t>
                  </w:r>
                  <w:r>
                    <w:br/>
                  </w:r>
                  <w:r>
                    <w:rPr>
                      <w:rFonts w:ascii="仿宋_GB2312" w:hAnsi="仿宋_GB2312" w:cs="仿宋_GB2312" w:eastAsia="仿宋_GB2312"/>
                      <w:sz w:val="22"/>
                      <w:color w:val="000000"/>
                    </w:rPr>
                    <w:t>3.制热量W:≥5010</w:t>
                  </w:r>
                  <w:r>
                    <w:br/>
                  </w:r>
                  <w:r>
                    <w:rPr>
                      <w:rFonts w:ascii="仿宋_GB2312" w:hAnsi="仿宋_GB2312" w:cs="仿宋_GB2312" w:eastAsia="仿宋_GB2312"/>
                      <w:sz w:val="22"/>
                      <w:color w:val="000000"/>
                    </w:rPr>
                    <w:t>4.制冷功率W:≤845</w:t>
                  </w:r>
                  <w:r>
                    <w:br/>
                  </w:r>
                  <w:r>
                    <w:rPr>
                      <w:rFonts w:ascii="仿宋_GB2312" w:hAnsi="仿宋_GB2312" w:cs="仿宋_GB2312" w:eastAsia="仿宋_GB2312"/>
                      <w:sz w:val="22"/>
                      <w:color w:val="000000"/>
                    </w:rPr>
                    <w:t>5.制热功率W:≤1240</w:t>
                  </w:r>
                  <w:r>
                    <w:br/>
                  </w:r>
                  <w:r>
                    <w:rPr>
                      <w:rFonts w:ascii="仿宋_GB2312" w:hAnsi="仿宋_GB2312" w:cs="仿宋_GB2312" w:eastAsia="仿宋_GB2312"/>
                      <w:sz w:val="22"/>
                      <w:color w:val="000000"/>
                    </w:rPr>
                    <w:t>6.电压:220V/50HZ</w:t>
                  </w:r>
                  <w:r>
                    <w:br/>
                  </w:r>
                  <w:r>
                    <w:rPr>
                      <w:rFonts w:ascii="仿宋_GB2312" w:hAnsi="仿宋_GB2312" w:cs="仿宋_GB2312" w:eastAsia="仿宋_GB2312"/>
                      <w:sz w:val="22"/>
                      <w:color w:val="000000"/>
                    </w:rPr>
                    <w:t>▲7.循环风量:≥800m3/h</w:t>
                  </w:r>
                  <w:r>
                    <w:br/>
                  </w:r>
                  <w:r>
                    <w:rPr>
                      <w:rFonts w:ascii="仿宋_GB2312" w:hAnsi="仿宋_GB2312" w:cs="仿宋_GB2312" w:eastAsia="仿宋_GB2312"/>
                      <w:sz w:val="22"/>
                      <w:color w:val="000000"/>
                    </w:rPr>
                    <w:t>8.APF值:≥5.20</w:t>
                  </w:r>
                  <w:r>
                    <w:br/>
                  </w:r>
                  <w:r>
                    <w:rPr>
                      <w:rFonts w:ascii="仿宋_GB2312" w:hAnsi="仿宋_GB2312" w:cs="仿宋_GB2312" w:eastAsia="仿宋_GB2312"/>
                      <w:sz w:val="22"/>
                      <w:color w:val="000000"/>
                    </w:rPr>
                    <w:t>▲9.室内机噪音dB(A):≤18-35-41(静音-</w:t>
                  </w:r>
                  <w:r>
                    <w:br/>
                  </w:r>
                  <w:r>
                    <w:rPr>
                      <w:rFonts w:ascii="仿宋_GB2312" w:hAnsi="仿宋_GB2312" w:cs="仿宋_GB2312" w:eastAsia="仿宋_GB2312"/>
                      <w:sz w:val="22"/>
                      <w:color w:val="000000"/>
                    </w:rPr>
                    <w:t>高</w:t>
                  </w:r>
                  <w:r>
                    <w:rPr>
                      <w:rFonts w:ascii="仿宋_GB2312" w:hAnsi="仿宋_GB2312" w:cs="仿宋_GB2312" w:eastAsia="仿宋_GB2312"/>
                      <w:sz w:val="22"/>
                      <w:color w:val="000000"/>
                    </w:rPr>
                    <w:t>-超强)</w:t>
                  </w:r>
                  <w:r>
                    <w:br/>
                  </w:r>
                  <w:r>
                    <w:rPr>
                      <w:rFonts w:ascii="仿宋_GB2312" w:hAnsi="仿宋_GB2312" w:cs="仿宋_GB2312" w:eastAsia="仿宋_GB2312"/>
                      <w:sz w:val="22"/>
                      <w:color w:val="000000"/>
                    </w:rPr>
                    <w:t>10.控制:遥控</w:t>
                  </w:r>
                  <w:r>
                    <w:br/>
                  </w:r>
                  <w:r>
                    <w:rPr>
                      <w:rFonts w:ascii="仿宋_GB2312" w:hAnsi="仿宋_GB2312" w:cs="仿宋_GB2312" w:eastAsia="仿宋_GB2312"/>
                      <w:sz w:val="22"/>
                      <w:color w:val="000000"/>
                    </w:rPr>
                    <w:t>11.风档:多档调速；</w:t>
                  </w:r>
                  <w:r>
                    <w:br/>
                  </w:r>
                  <w:r>
                    <w:rPr>
                      <w:rFonts w:ascii="仿宋_GB2312" w:hAnsi="仿宋_GB2312" w:cs="仿宋_GB2312" w:eastAsia="仿宋_GB2312"/>
                      <w:sz w:val="22"/>
                      <w:color w:val="000000"/>
                    </w:rPr>
                    <w:t>12.控温:0.5°调节</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浴室食堂挂机空调</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▲1.能效级别:一级</w:t>
                  </w:r>
                  <w:r>
                    <w:br/>
                  </w:r>
                  <w:r>
                    <w:rPr>
                      <w:rFonts w:ascii="仿宋_GB2312" w:hAnsi="仿宋_GB2312" w:cs="仿宋_GB2312" w:eastAsia="仿宋_GB2312"/>
                      <w:sz w:val="22"/>
                      <w:color w:val="000000"/>
                    </w:rPr>
                    <w:t>2.冷量W:≥3510</w:t>
                  </w:r>
                  <w:r>
                    <w:br/>
                  </w:r>
                  <w:r>
                    <w:rPr>
                      <w:rFonts w:ascii="仿宋_GB2312" w:hAnsi="仿宋_GB2312" w:cs="仿宋_GB2312" w:eastAsia="仿宋_GB2312"/>
                      <w:sz w:val="22"/>
                      <w:color w:val="000000"/>
                    </w:rPr>
                    <w:t>3.制热量W:≥5010</w:t>
                  </w:r>
                  <w:r>
                    <w:br/>
                  </w:r>
                  <w:r>
                    <w:rPr>
                      <w:rFonts w:ascii="仿宋_GB2312" w:hAnsi="仿宋_GB2312" w:cs="仿宋_GB2312" w:eastAsia="仿宋_GB2312"/>
                      <w:sz w:val="22"/>
                      <w:color w:val="000000"/>
                    </w:rPr>
                    <w:t>4.制冷功率W:≤845</w:t>
                  </w:r>
                  <w:r>
                    <w:br/>
                  </w:r>
                  <w:r>
                    <w:rPr>
                      <w:rFonts w:ascii="仿宋_GB2312" w:hAnsi="仿宋_GB2312" w:cs="仿宋_GB2312" w:eastAsia="仿宋_GB2312"/>
                      <w:sz w:val="22"/>
                      <w:color w:val="000000"/>
                    </w:rPr>
                    <w:t>5.制热功率W:≤1240</w:t>
                  </w:r>
                  <w:r>
                    <w:br/>
                  </w:r>
                  <w:r>
                    <w:rPr>
                      <w:rFonts w:ascii="仿宋_GB2312" w:hAnsi="仿宋_GB2312" w:cs="仿宋_GB2312" w:eastAsia="仿宋_GB2312"/>
                      <w:sz w:val="22"/>
                      <w:color w:val="000000"/>
                    </w:rPr>
                    <w:t>6.电压:220V/50HZ</w:t>
                  </w:r>
                  <w:r>
                    <w:br/>
                  </w:r>
                  <w:r>
                    <w:rPr>
                      <w:rFonts w:ascii="仿宋_GB2312" w:hAnsi="仿宋_GB2312" w:cs="仿宋_GB2312" w:eastAsia="仿宋_GB2312"/>
                      <w:sz w:val="22"/>
                      <w:color w:val="000000"/>
                    </w:rPr>
                    <w:t>▲7.循环风量:≥800m3/h</w:t>
                  </w:r>
                  <w:r>
                    <w:br/>
                  </w:r>
                  <w:r>
                    <w:rPr>
                      <w:rFonts w:ascii="仿宋_GB2312" w:hAnsi="仿宋_GB2312" w:cs="仿宋_GB2312" w:eastAsia="仿宋_GB2312"/>
                      <w:sz w:val="22"/>
                      <w:color w:val="000000"/>
                    </w:rPr>
                    <w:t>8.APF值:≥5.20</w:t>
                  </w:r>
                  <w:r>
                    <w:br/>
                  </w:r>
                  <w:r>
                    <w:rPr>
                      <w:rFonts w:ascii="仿宋_GB2312" w:hAnsi="仿宋_GB2312" w:cs="仿宋_GB2312" w:eastAsia="仿宋_GB2312"/>
                      <w:sz w:val="22"/>
                      <w:color w:val="000000"/>
                    </w:rPr>
                    <w:t>▲9.室内机噪音dB(A):≤18-35-41(静音-</w:t>
                  </w:r>
                  <w:r>
                    <w:br/>
                  </w:r>
                  <w:r>
                    <w:rPr>
                      <w:rFonts w:ascii="仿宋_GB2312" w:hAnsi="仿宋_GB2312" w:cs="仿宋_GB2312" w:eastAsia="仿宋_GB2312"/>
                      <w:sz w:val="22"/>
                      <w:color w:val="000000"/>
                    </w:rPr>
                    <w:t>高</w:t>
                  </w:r>
                  <w:r>
                    <w:rPr>
                      <w:rFonts w:ascii="仿宋_GB2312" w:hAnsi="仿宋_GB2312" w:cs="仿宋_GB2312" w:eastAsia="仿宋_GB2312"/>
                      <w:sz w:val="22"/>
                      <w:color w:val="000000"/>
                    </w:rPr>
                    <w:t>-超强)</w:t>
                  </w:r>
                  <w:r>
                    <w:br/>
                  </w:r>
                  <w:r>
                    <w:rPr>
                      <w:rFonts w:ascii="仿宋_GB2312" w:hAnsi="仿宋_GB2312" w:cs="仿宋_GB2312" w:eastAsia="仿宋_GB2312"/>
                      <w:sz w:val="22"/>
                      <w:color w:val="000000"/>
                    </w:rPr>
                    <w:t>10.控制:遥控</w:t>
                  </w:r>
                  <w:r>
                    <w:br/>
                  </w:r>
                  <w:r>
                    <w:rPr>
                      <w:rFonts w:ascii="仿宋_GB2312" w:hAnsi="仿宋_GB2312" w:cs="仿宋_GB2312" w:eastAsia="仿宋_GB2312"/>
                      <w:sz w:val="22"/>
                      <w:color w:val="000000"/>
                    </w:rPr>
                    <w:t>11.风档:多档调速；</w:t>
                  </w:r>
                  <w:r>
                    <w:br/>
                  </w:r>
                  <w:r>
                    <w:rPr>
                      <w:rFonts w:ascii="仿宋_GB2312" w:hAnsi="仿宋_GB2312" w:cs="仿宋_GB2312" w:eastAsia="仿宋_GB2312"/>
                      <w:sz w:val="22"/>
                      <w:color w:val="000000"/>
                    </w:rPr>
                    <w:t>12.控温:0.5°调节</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旧机拆除</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旧空调拆除并按照学校要求集中送至指定地点</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新机辅材及安装</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含运费、铜管、打孔、支架及安装所需的所有材料，安装调试到位</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bl>
          <w:p>
            <w:pPr>
              <w:pStyle w:val="null3"/>
              <w:spacing w:before="345" w:after="330"/>
              <w:ind w:left="435"/>
              <w:jc w:val="both"/>
              <w:outlineLvl w:val="0"/>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ind w:left="435"/>
              <w:jc w:val="both"/>
              <w:outlineLvl w:val="0"/>
            </w:pPr>
            <w:r>
              <w:rPr>
                <w:rFonts w:ascii="仿宋_GB2312" w:hAnsi="仿宋_GB2312" w:cs="仿宋_GB2312" w:eastAsia="仿宋_GB2312"/>
                <w:sz w:val="28"/>
                <w:b/>
              </w:rPr>
              <w:t>教师培训服务要求</w:t>
            </w:r>
          </w:p>
          <w:p>
            <w:pPr>
              <w:pStyle w:val="null3"/>
              <w:spacing w:before="345" w:after="330"/>
              <w:ind w:left="435"/>
              <w:jc w:val="both"/>
              <w:outlineLvl w:val="0"/>
            </w:pPr>
            <w:r>
              <w:rPr>
                <w:rFonts w:ascii="仿宋_GB2312" w:hAnsi="仿宋_GB2312" w:cs="仿宋_GB2312" w:eastAsia="仿宋_GB2312"/>
                <w:sz w:val="28"/>
                <w:b/>
              </w:rPr>
              <w:t>服务目标</w:t>
            </w:r>
          </w:p>
          <w:p>
            <w:pPr>
              <w:pStyle w:val="null3"/>
              <w:ind w:firstLine="480"/>
              <w:jc w:val="both"/>
            </w:pPr>
            <w:r>
              <w:rPr>
                <w:rFonts w:ascii="仿宋_GB2312" w:hAnsi="仿宋_GB2312" w:cs="仿宋_GB2312" w:eastAsia="仿宋_GB2312"/>
                <w:sz w:val="24"/>
              </w:rPr>
              <w:t>以建立健全促进教师关键能力和综合素质提升的教师发展支持体系为目标，通过制度优化、理论学习、教学研究和实践指导，激发教师发展内驱力，促进教师教育理念转变、教育认识水平提升，提高教师课程开发、教学实施、教学研究、教学评价等能力，促进学校教育教学方式转变，焕发学校教育教学改革活力，提升学校教育教学质量，增强学校的美誉度，高水平通过省级示范验收，为全省同类县域高中发展提供经验。</w:t>
            </w:r>
            <w:r>
              <w:br/>
            </w: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服务要求</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教师培训及其他费用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交流研讨</w:t>
                  </w:r>
                  <w:r>
                    <w:rPr>
                      <w:rFonts w:ascii="仿宋_GB2312" w:hAnsi="仿宋_GB2312" w:cs="仿宋_GB2312" w:eastAsia="仿宋_GB2312"/>
                      <w:sz w:val="24"/>
                    </w:rPr>
                    <w:t>、</w:t>
                  </w:r>
                  <w:r>
                    <w:rPr>
                      <w:rFonts w:ascii="仿宋_GB2312" w:hAnsi="仿宋_GB2312" w:cs="仿宋_GB2312" w:eastAsia="仿宋_GB2312"/>
                      <w:sz w:val="24"/>
                    </w:rPr>
                    <w:t>专家点评。学校提供自主学习内容，教师自主学习</w:t>
                  </w:r>
                  <w:r>
                    <w:rPr>
                      <w:rFonts w:ascii="仿宋_GB2312" w:hAnsi="仿宋_GB2312" w:cs="仿宋_GB2312" w:eastAsia="仿宋_GB2312"/>
                      <w:sz w:val="24"/>
                    </w:rPr>
                    <w:t>。</w:t>
                  </w:r>
                  <w:r>
                    <w:rPr>
                      <w:rFonts w:ascii="仿宋_GB2312" w:hAnsi="仿宋_GB2312" w:cs="仿宋_GB2312" w:eastAsia="仿宋_GB2312"/>
                      <w:sz w:val="24"/>
                    </w:rPr>
                    <w:t>学校组织交流研讨，</w:t>
                  </w:r>
                  <w:r>
                    <w:rPr>
                      <w:rFonts w:ascii="仿宋_GB2312" w:hAnsi="仿宋_GB2312" w:cs="仿宋_GB2312" w:eastAsia="仿宋_GB2312"/>
                      <w:sz w:val="24"/>
                    </w:rPr>
                    <w:t>投标人提供</w:t>
                  </w:r>
                  <w:r>
                    <w:rPr>
                      <w:rFonts w:ascii="仿宋_GB2312" w:hAnsi="仿宋_GB2312" w:cs="仿宋_GB2312" w:eastAsia="仿宋_GB2312"/>
                      <w:sz w:val="24"/>
                    </w:rPr>
                    <w:t>专家进行点评</w:t>
                  </w:r>
                  <w:r>
                    <w:rPr>
                      <w:rFonts w:ascii="仿宋_GB2312" w:hAnsi="仿宋_GB2312" w:cs="仿宋_GB2312" w:eastAsia="仿宋_GB2312"/>
                      <w:sz w:val="24"/>
                    </w:rPr>
                    <w:t>服务，</w:t>
                  </w:r>
                  <w:r>
                    <w:rPr>
                      <w:rFonts w:ascii="仿宋_GB2312" w:hAnsi="仿宋_GB2312" w:cs="仿宋_GB2312" w:eastAsia="仿宋_GB2312"/>
                      <w:sz w:val="24"/>
                    </w:rPr>
                    <w:t>每年以一定方式组织结果评价。</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集中培训</w:t>
                  </w:r>
                  <w:r>
                    <w:rPr>
                      <w:rFonts w:ascii="仿宋_GB2312" w:hAnsi="仿宋_GB2312" w:cs="仿宋_GB2312" w:eastAsia="仿宋_GB2312"/>
                      <w:sz w:val="24"/>
                    </w:rPr>
                    <w:t>：</w:t>
                  </w:r>
                  <w:r>
                    <w:rPr>
                      <w:rFonts w:ascii="仿宋_GB2312" w:hAnsi="仿宋_GB2312" w:cs="仿宋_GB2312" w:eastAsia="仿宋_GB2312"/>
                      <w:sz w:val="24"/>
                    </w:rPr>
                    <w:t>针对教师普遍存在的问题和教育热点，</w:t>
                  </w:r>
                  <w:r>
                    <w:rPr>
                      <w:rFonts w:ascii="仿宋_GB2312" w:hAnsi="仿宋_GB2312" w:cs="仿宋_GB2312" w:eastAsia="仿宋_GB2312"/>
                      <w:sz w:val="24"/>
                    </w:rPr>
                    <w:t>投标人需</w:t>
                  </w:r>
                  <w:r>
                    <w:rPr>
                      <w:rFonts w:ascii="仿宋_GB2312" w:hAnsi="仿宋_GB2312" w:cs="仿宋_GB2312" w:eastAsia="仿宋_GB2312"/>
                      <w:sz w:val="24"/>
                    </w:rPr>
                    <w:t>设计课程、组织专家进校，针对全校教师进行专题培训。每年集中培训不少于</w:t>
                  </w:r>
                  <w:r>
                    <w:rPr>
                      <w:rFonts w:ascii="仿宋_GB2312" w:hAnsi="仿宋_GB2312" w:cs="仿宋_GB2312" w:eastAsia="仿宋_GB2312"/>
                      <w:sz w:val="24"/>
                    </w:rPr>
                    <w:t>6</w:t>
                  </w:r>
                  <w:r>
                    <w:rPr>
                      <w:rFonts w:ascii="仿宋_GB2312" w:hAnsi="仿宋_GB2312" w:cs="仿宋_GB2312" w:eastAsia="仿宋_GB2312"/>
                      <w:sz w:val="24"/>
                    </w:rPr>
                    <w:t>次（</w:t>
                  </w:r>
                  <w:r>
                    <w:rPr>
                      <w:rFonts w:ascii="仿宋_GB2312" w:hAnsi="仿宋_GB2312" w:cs="仿宋_GB2312" w:eastAsia="仿宋_GB2312"/>
                      <w:sz w:val="24"/>
                    </w:rPr>
                    <w:t>18</w:t>
                  </w:r>
                  <w:r>
                    <w:rPr>
                      <w:rFonts w:ascii="仿宋_GB2312" w:hAnsi="仿宋_GB2312" w:cs="仿宋_GB2312" w:eastAsia="仿宋_GB2312"/>
                      <w:sz w:val="24"/>
                    </w:rPr>
                    <w:t>学时）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实践指导</w:t>
                  </w:r>
                  <w:r>
                    <w:rPr>
                      <w:rFonts w:ascii="仿宋_GB2312" w:hAnsi="仿宋_GB2312" w:cs="仿宋_GB2312" w:eastAsia="仿宋_GB2312"/>
                      <w:sz w:val="24"/>
                    </w:rPr>
                    <w:t>：投标人</w:t>
                  </w:r>
                  <w:r>
                    <w:rPr>
                      <w:rFonts w:ascii="仿宋_GB2312" w:hAnsi="仿宋_GB2312" w:cs="仿宋_GB2312" w:eastAsia="仿宋_GB2312"/>
                      <w:sz w:val="24"/>
                    </w:rPr>
                    <w:t>专家深入课程建设和高三、高一（或高二）</w:t>
                  </w:r>
                  <w:r>
                    <w:rPr>
                      <w:rFonts w:ascii="仿宋_GB2312" w:hAnsi="仿宋_GB2312" w:cs="仿宋_GB2312" w:eastAsia="仿宋_GB2312"/>
                      <w:sz w:val="24"/>
                    </w:rPr>
                    <w:t>2</w:t>
                  </w:r>
                  <w:r>
                    <w:rPr>
                      <w:rFonts w:ascii="仿宋_GB2312" w:hAnsi="仿宋_GB2312" w:cs="仿宋_GB2312" w:eastAsia="仿宋_GB2312"/>
                      <w:sz w:val="24"/>
                    </w:rPr>
                    <w:t>个年级的课堂，通过听课、同课异构、课后研讨、微报告等方式，加强对教师的教学指导。每年进校指导</w:t>
                  </w:r>
                  <w:r>
                    <w:rPr>
                      <w:rFonts w:ascii="仿宋_GB2312" w:hAnsi="仿宋_GB2312" w:cs="仿宋_GB2312" w:eastAsia="仿宋_GB2312"/>
                      <w:sz w:val="24"/>
                    </w:rPr>
                    <w:t>2</w:t>
                  </w:r>
                  <w:r>
                    <w:rPr>
                      <w:rFonts w:ascii="仿宋_GB2312" w:hAnsi="仿宋_GB2312" w:cs="仿宋_GB2312" w:eastAsia="仿宋_GB2312"/>
                      <w:sz w:val="24"/>
                    </w:rPr>
                    <w:t>次，即每年</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月各</w:t>
                  </w:r>
                  <w:r>
                    <w:rPr>
                      <w:rFonts w:ascii="仿宋_GB2312" w:hAnsi="仿宋_GB2312" w:cs="仿宋_GB2312" w:eastAsia="仿宋_GB2312"/>
                      <w:sz w:val="24"/>
                    </w:rPr>
                    <w:t>1</w:t>
                  </w:r>
                  <w:r>
                    <w:rPr>
                      <w:rFonts w:ascii="仿宋_GB2312" w:hAnsi="仿宋_GB2312" w:cs="仿宋_GB2312" w:eastAsia="仿宋_GB2312"/>
                      <w:sz w:val="24"/>
                    </w:rPr>
                    <w:t>次，每次</w:t>
                  </w:r>
                  <w:r>
                    <w:rPr>
                      <w:rFonts w:ascii="仿宋_GB2312" w:hAnsi="仿宋_GB2312" w:cs="仿宋_GB2312" w:eastAsia="仿宋_GB2312"/>
                      <w:sz w:val="24"/>
                    </w:rPr>
                    <w:t>1</w:t>
                  </w:r>
                  <w:r>
                    <w:rPr>
                      <w:rFonts w:ascii="仿宋_GB2312" w:hAnsi="仿宋_GB2312" w:cs="仿宋_GB2312" w:eastAsia="仿宋_GB2312"/>
                      <w:sz w:val="24"/>
                    </w:rPr>
                    <w:t>天，其中高一（或高二）、高三各</w:t>
                  </w:r>
                  <w:r>
                    <w:rPr>
                      <w:rFonts w:ascii="仿宋_GB2312" w:hAnsi="仿宋_GB2312" w:cs="仿宋_GB2312" w:eastAsia="仿宋_GB2312"/>
                      <w:sz w:val="24"/>
                    </w:rPr>
                    <w:t>半</w:t>
                  </w:r>
                  <w:r>
                    <w:rPr>
                      <w:rFonts w:ascii="仿宋_GB2312" w:hAnsi="仿宋_GB2312" w:cs="仿宋_GB2312" w:eastAsia="仿宋_GB2312"/>
                      <w:sz w:val="24"/>
                    </w:rPr>
                    <w:t>天。</w:t>
                  </w:r>
                </w:p>
                <w:p>
                  <w:pPr>
                    <w:pStyle w:val="null3"/>
                    <w:jc w:val="both"/>
                  </w:pPr>
                  <w:r>
                    <w:rPr>
                      <w:rFonts w:ascii="仿宋_GB2312" w:hAnsi="仿宋_GB2312" w:cs="仿宋_GB2312" w:eastAsia="仿宋_GB2312"/>
                      <w:sz w:val="24"/>
                    </w:rPr>
                    <w:t xml:space="preserve">4. </w:t>
                  </w:r>
                  <w:r>
                    <w:rPr>
                      <w:rFonts w:ascii="仿宋_GB2312" w:hAnsi="仿宋_GB2312" w:cs="仿宋_GB2312" w:eastAsia="仿宋_GB2312"/>
                      <w:sz w:val="24"/>
                    </w:rPr>
                    <w:t>名校跟岗研修：投标人</w:t>
                  </w:r>
                  <w:r>
                    <w:rPr>
                      <w:rFonts w:ascii="仿宋_GB2312" w:hAnsi="仿宋_GB2312" w:cs="仿宋_GB2312" w:eastAsia="仿宋_GB2312"/>
                      <w:sz w:val="24"/>
                    </w:rPr>
                    <w:t>协助学校与</w:t>
                  </w:r>
                  <w:r>
                    <w:rPr>
                      <w:rFonts w:ascii="仿宋_GB2312" w:hAnsi="仿宋_GB2312" w:cs="仿宋_GB2312" w:eastAsia="仿宋_GB2312"/>
                      <w:sz w:val="24"/>
                    </w:rPr>
                    <w:t>省内</w:t>
                  </w:r>
                  <w:r>
                    <w:rPr>
                      <w:rFonts w:ascii="仿宋_GB2312" w:hAnsi="仿宋_GB2312" w:cs="仿宋_GB2312" w:eastAsia="仿宋_GB2312"/>
                      <w:sz w:val="24"/>
                    </w:rPr>
                    <w:t>1</w:t>
                  </w:r>
                  <w:r>
                    <w:rPr>
                      <w:rFonts w:ascii="仿宋_GB2312" w:hAnsi="仿宋_GB2312" w:cs="仿宋_GB2312" w:eastAsia="仿宋_GB2312"/>
                      <w:sz w:val="24"/>
                    </w:rPr>
                    <w:t>所学校建立</w:t>
                  </w:r>
                  <w:r>
                    <w:rPr>
                      <w:rFonts w:ascii="仿宋_GB2312" w:hAnsi="仿宋_GB2312" w:cs="仿宋_GB2312" w:eastAsia="仿宋_GB2312"/>
                      <w:sz w:val="24"/>
                    </w:rPr>
                    <w:t>跟岗研修</w:t>
                  </w:r>
                  <w:r>
                    <w:rPr>
                      <w:rFonts w:ascii="仿宋_GB2312" w:hAnsi="仿宋_GB2312" w:cs="仿宋_GB2312" w:eastAsia="仿宋_GB2312"/>
                      <w:sz w:val="24"/>
                    </w:rPr>
                    <w:t>关系，每年安排管理者和部分（骨干）教师，赴合作学校，深入课堂听课，与学校教师交流，共享教育资源</w:t>
                  </w:r>
                  <w:r>
                    <w:rPr>
                      <w:rFonts w:ascii="仿宋_GB2312" w:hAnsi="仿宋_GB2312" w:cs="仿宋_GB2312" w:eastAsia="仿宋_GB2312"/>
                      <w:sz w:val="24"/>
                    </w:rPr>
                    <w:t>，</w:t>
                  </w:r>
                  <w:r>
                    <w:rPr>
                      <w:rFonts w:ascii="仿宋_GB2312" w:hAnsi="仿宋_GB2312" w:cs="仿宋_GB2312" w:eastAsia="仿宋_GB2312"/>
                      <w:sz w:val="24"/>
                    </w:rPr>
                    <w:t>每年</w:t>
                  </w:r>
                  <w:r>
                    <w:rPr>
                      <w:rFonts w:ascii="仿宋_GB2312" w:hAnsi="仿宋_GB2312" w:cs="仿宋_GB2312" w:eastAsia="仿宋_GB2312"/>
                      <w:sz w:val="24"/>
                    </w:rPr>
                    <w:t>1-2</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包括通识培训费，</w:t>
                  </w:r>
                  <w:r>
                    <w:rPr>
                      <w:rFonts w:ascii="仿宋_GB2312" w:hAnsi="仿宋_GB2312" w:cs="仿宋_GB2312" w:eastAsia="仿宋_GB2312"/>
                      <w:sz w:val="24"/>
                    </w:rPr>
                    <w:t>9</w:t>
                  </w:r>
                  <w:r>
                    <w:rPr>
                      <w:rFonts w:ascii="仿宋_GB2312" w:hAnsi="仿宋_GB2312" w:cs="仿宋_GB2312" w:eastAsia="仿宋_GB2312"/>
                      <w:sz w:val="24"/>
                    </w:rPr>
                    <w:t>个学科</w:t>
                  </w:r>
                  <w:r>
                    <w:rPr>
                      <w:rFonts w:ascii="仿宋_GB2312" w:hAnsi="仿宋_GB2312" w:cs="仿宋_GB2312" w:eastAsia="仿宋_GB2312"/>
                      <w:sz w:val="24"/>
                    </w:rPr>
                    <w:t>2</w:t>
                  </w:r>
                  <w:r>
                    <w:rPr>
                      <w:rFonts w:ascii="仿宋_GB2312" w:hAnsi="仿宋_GB2312" w:cs="仿宋_GB2312" w:eastAsia="仿宋_GB2312"/>
                      <w:sz w:val="24"/>
                    </w:rPr>
                    <w:t>次进校指导和其他指导工作的专家劳酬、差旅食宿，工作人员差旅食宿等。</w:t>
                  </w:r>
                  <w:r>
                    <w:br/>
                  </w:r>
                  <w:r>
                    <w:rPr>
                      <w:rFonts w:ascii="仿宋_GB2312" w:hAnsi="仿宋_GB2312" w:cs="仿宋_GB2312" w:eastAsia="仿宋_GB2312"/>
                      <w:sz w:val="24"/>
                    </w:rPr>
                    <w:t>6.</w:t>
                  </w:r>
                  <w:r>
                    <w:rPr>
                      <w:rFonts w:ascii="仿宋_GB2312" w:hAnsi="仿宋_GB2312" w:cs="仿宋_GB2312" w:eastAsia="仿宋_GB2312"/>
                      <w:sz w:val="24"/>
                    </w:rPr>
                    <w:t>资料费：包含培训专属资料包的编制、印刷、发放费用等。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专家授课差旅费补贴：测算依据为支付特邀教育专家、名校骨干教师的往返交通、住宿补贴，按专家邀请标准及计划参训人数均摊测算。</w:t>
                  </w:r>
                </w:p>
                <w:p>
                  <w:pPr>
                    <w:pStyle w:val="null3"/>
                    <w:jc w:val="both"/>
                  </w:pPr>
                  <w:r>
                    <w:rPr>
                      <w:rFonts w:ascii="仿宋_GB2312" w:hAnsi="仿宋_GB2312" w:cs="仿宋_GB2312" w:eastAsia="仿宋_GB2312"/>
                      <w:sz w:val="19"/>
                    </w:rPr>
                    <w:t xml:space="preserve"> </w:t>
                  </w:r>
                </w:p>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pPr>
              <w:pStyle w:val="null3"/>
              <w:ind w:firstLine="48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供货安装期限：30天；质保期：1年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供货安装期限：30天；质保期：6年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略阳县天津高级中学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略阳县天津高级中学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略阳县天津高级中学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进度款，在签订供货施工合同后，达到付款条件起30个工作日内，支付合同总金额的50.0%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进度款，供应商安装完毕后，达到付款条件起30个工作日内，支付合同总金额的40.0%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进度款，调试完毕且三方验收合格支付，达到付款条件起30个工作日内，支付合同总金额的7.0%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进度款，供应商6年期间正常服务后，达到付款条件起30个工作日内，支付合同总金额的3.0%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进度款，6个月后，达到付款条件起30个工作日内，支付合同总金额的50.0%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其他要求内填写 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5、其他说明：合同包1技术参数详见附件1及附件2 (见附件)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投标人需具备《中华人民共和国出版物经营许可证》</w:t>
            </w:r>
          </w:p>
        </w:tc>
        <w:tc>
          <w:tcPr>
            <w:tcW w:type="dxa" w:w="3322"/>
          </w:tcPr>
          <w:p>
            <w:pPr>
              <w:pStyle w:val="null3"/>
            </w:pPr>
            <w:r>
              <w:rPr>
                <w:rFonts w:ascii="仿宋_GB2312" w:hAnsi="仿宋_GB2312" w:cs="仿宋_GB2312" w:eastAsia="仿宋_GB2312"/>
              </w:rPr>
              <w:t>投标人需具备《中华人民共和国出版物经营许可证》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w:t>
            </w:r>
          </w:p>
        </w:tc>
        <w:tc>
          <w:tcPr>
            <w:tcW w:type="dxa" w:w="3322"/>
          </w:tcPr>
          <w:p>
            <w:pPr>
              <w:pStyle w:val="null3"/>
            </w:pPr>
            <w:r>
              <w:rPr>
                <w:rFonts w:ascii="仿宋_GB2312" w:hAnsi="仿宋_GB2312" w:cs="仿宋_GB2312" w:eastAsia="仿宋_GB2312"/>
              </w:rPr>
              <w:t>本项目接受联合体投标。两个及以上供应商可以组成一个联合体参与投标。联合体各方之间应当签订《联合体协议书》，明确约定联合体各方承担的工作和相应的责任。联合体协议签订后，联合体各方不得再单独参加或者与其他供应商另外组成联合体参加同一合同项下的政府采购活动。联合体各方均应当满足《中华人民共和国政府采购法》第二十二条规定及特定资格要求。</w:t>
            </w:r>
          </w:p>
        </w:tc>
        <w:tc>
          <w:tcPr>
            <w:tcW w:type="dxa" w:w="1661"/>
          </w:tcPr>
          <w:p>
            <w:pPr>
              <w:pStyle w:val="null3"/>
            </w:pPr>
            <w:r>
              <w:rPr>
                <w:rFonts w:ascii="仿宋_GB2312" w:hAnsi="仿宋_GB2312" w:cs="仿宋_GB2312" w:eastAsia="仿宋_GB2312"/>
              </w:rPr>
              <w:t>联合体协议.docx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投标人需具有机电工程施工总承包三级(或建筑机电安装工程专业承包三级)及以上资质；拟派项⽬经理具备机电工程专业(含⼆级)以上 注册建造师资格，并具有相关主管部门颁发的B类安全⽣产考核合格证书，且未担任其他在建⼯程的项⽬经理，⽆不良记录。</w:t>
            </w:r>
          </w:p>
        </w:tc>
        <w:tc>
          <w:tcPr>
            <w:tcW w:type="dxa" w:w="3322"/>
          </w:tcPr>
          <w:p>
            <w:pPr>
              <w:pStyle w:val="null3"/>
            </w:pPr>
            <w:r>
              <w:rPr>
                <w:rFonts w:ascii="仿宋_GB2312" w:hAnsi="仿宋_GB2312" w:cs="仿宋_GB2312" w:eastAsia="仿宋_GB2312"/>
              </w:rPr>
              <w:t>投标人需具有机电工程施工总承包三级(或建筑机电安装工程专业承包三级)及以上资质；拟派项⽬经理具备机电工程专业(含⼆级)以上 注册建造师资格，并具有相关主管部门颁发的B类安全⽣产考核合格证书，且未担任其他在建⼯程的项⽬经理，⽆不良记录。</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中小企业声明函 联合体协议.docx 商务应答表 保证金.docx 控股承诺.docx 产品技术参数表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报价不允许超过最高限价。</w:t>
            </w:r>
          </w:p>
        </w:tc>
        <w:tc>
          <w:tcPr>
            <w:tcW w:type="dxa" w:w="3322"/>
          </w:tcPr>
          <w:p>
            <w:pPr>
              <w:pStyle w:val="null3"/>
            </w:pPr>
            <w:r>
              <w:rPr>
                <w:rFonts w:ascii="仿宋_GB2312" w:hAnsi="仿宋_GB2312" w:cs="仿宋_GB2312" w:eastAsia="仿宋_GB2312"/>
              </w:rPr>
              <w:t>报价超过最高限价视为无效标。</w:t>
            </w:r>
          </w:p>
        </w:tc>
        <w:tc>
          <w:tcPr>
            <w:tcW w:type="dxa" w:w="1661"/>
          </w:tcPr>
          <w:p>
            <w:pPr>
              <w:pStyle w:val="null3"/>
            </w:pPr>
            <w:r>
              <w:rPr>
                <w:rFonts w:ascii="仿宋_GB2312" w:hAnsi="仿宋_GB2312" w:cs="仿宋_GB2312" w:eastAsia="仿宋_GB2312"/>
              </w:rPr>
              <w:t>投标函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中小企业声明函 商务应答表 保证金.docx 控股承诺.docx 产品技术参数表 分项报价表.docx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报价不允许超过最高限价。</w:t>
            </w:r>
          </w:p>
        </w:tc>
        <w:tc>
          <w:tcPr>
            <w:tcW w:type="dxa" w:w="3322"/>
          </w:tcPr>
          <w:p>
            <w:pPr>
              <w:pStyle w:val="null3"/>
            </w:pPr>
            <w:r>
              <w:rPr>
                <w:rFonts w:ascii="仿宋_GB2312" w:hAnsi="仿宋_GB2312" w:cs="仿宋_GB2312" w:eastAsia="仿宋_GB2312"/>
              </w:rPr>
              <w:t>报价超过最高限价视为无效标。</w:t>
            </w:r>
          </w:p>
        </w:tc>
        <w:tc>
          <w:tcPr>
            <w:tcW w:type="dxa" w:w="1661"/>
          </w:tcPr>
          <w:p>
            <w:pPr>
              <w:pStyle w:val="null3"/>
            </w:pPr>
            <w:r>
              <w:rPr>
                <w:rFonts w:ascii="仿宋_GB2312" w:hAnsi="仿宋_GB2312" w:cs="仿宋_GB2312" w:eastAsia="仿宋_GB2312"/>
              </w:rPr>
              <w:t>投标函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中小企业声明函 商务应答表 保证金.docx 供应商认为需要说明的其他内容.docx 控股承诺.docx 产品技术参数表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（带“▲”参数为重要技术参数) 1、 技术参数完全符合、响应或优于采购⽂件要求计46分； 2、“▲”参数 （重要技术参数）有⼀项负偏离扣 1分，扣完为止； 3、非“▲”参数有⼀项负偏离扣 0.2分，扣完为止； 评审依据：投标人应对技术参数与性能指标内容在技术偏离表逐条响应。其中“▲”号技术指标参数应按要求提供包括但产品彩页、产品技术白皮书、功能界面截图、厂家官网功能截图、生产厂家出具的产品参数说明文件、第三方检测报告，提供其中之一即可（下述技术参数及要求中已明确提供证明材料要求的，按下述技术参数及要求执行)未提供或提供的证明材料不满足参数要求的视为不满足招标文件要求。</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评审内容：产品进货渠道正规，有质量保证，无假冒伪劣、瑕疵产品，提供主要产品（核心交换机、教育教学管理系统、图书管理系统）来源渠道合法的证明文件(包括但不限于销售协议、代理协议、原厂授权等证明资料。⼆、评审标准：每提供一个得1分，最高计3分，不提供未提供或不按要求提供的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一、评审内容:提供完整可行有针对性的实施方案，包含:1供货方案、2安装调试方案、3技术支持方案、4质量保证措施、5验收方案。 二、评审标准:每项内容完整可行且有针对性得2分，缺漏项不得分，满分10分;每项内容中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一、评审内容:提供完整可行有针对性的售后服务方案，包含:1售后服务范围及保障措施、2应急保障方案、3培训方案、4故障处理及补救措施、5备品配件服务承诺。 二、评审标准:每项内容完整可行且有针对性得1分，满分5分，每项内容中每有一处有缺陷扣0.3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供应商针对本项目配备的人员团队:1团队组织构架，得1分;2人员配备6人及以上得1分，5人以下不得分，提供团队人员详细信息(内容应包含:人员姓名、年龄、学历、专业技能、工作经验等)不提供或缺项不得分。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2023年1月1日至投标截止时间(以合同签订时间为准)与本项目类似业绩，以加盖公章的业绩合同复印件或中标通知书复印件为准，每提供一个得2分，最高计4分，未提供或不按要求提供的此项不得分。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完全满足采购文件参数要求得28分。标注“▲”号为重要技术指标、参数，其中任意一项低于招标文件规定要求的，每项减2分，减完为止。其他普通指标/参数每有一项低于招标文件规定要求的，每项减 0.5 分，减完为止。评审依据：投标人应对技术参数与性能指标在技术偏离表逐条响应。其中 “▲” 号技术指标应按要求提供包括但不限于产品彩页、功能界面截图、厂家官网功能截图、生产厂家出具的产品参数说明文件、第三方检测报告，提供其中之一即可（技术参数资料与采购内容响应偏离表不一致的，以技术资料及证明资料为准进行赋分）；无技术材料支持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产品实力</w:t>
            </w:r>
          </w:p>
        </w:tc>
        <w:tc>
          <w:tcPr>
            <w:tcW w:type="dxa" w:w="2492"/>
          </w:tcPr>
          <w:p>
            <w:pPr>
              <w:pStyle w:val="null3"/>
            </w:pPr>
            <w:r>
              <w:rPr>
                <w:rFonts w:ascii="仿宋_GB2312" w:hAnsi="仿宋_GB2312" w:cs="仿宋_GB2312" w:eastAsia="仿宋_GB2312"/>
              </w:rPr>
              <w:t>投标人所投的空调制造商(或所属集团)获得国家科学技术奖(包含国家最高科学制造商技术奖国家自然科学奖、国家技术发明奖、国家科学技术进步奖)的，每个奖项证书得1分，最高得4分（提供相关证明材料复印件，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产品实力.docx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投标人具有有效期内的质量管理体系认证证书、环境管理体系认证证书、职业健康安全管理体系认证证书，三个都提供得2分，提供不全不得分.评审依据: 1.提供有效期内的认证证书扫描件; 2.提供全国认证认可信息公共服务平台http://cx.cnca.cn查询截图;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管理体系.docx</w:t>
            </w:r>
          </w:p>
        </w:tc>
      </w:tr>
      <w:tr>
        <w:tc>
          <w:tcPr>
            <w:tcW w:type="dxa" w:w="831"/>
            <w:vMerge/>
          </w:tcPr>
          <w:p/>
        </w:tc>
        <w:tc>
          <w:tcPr>
            <w:tcW w:type="dxa" w:w="1661"/>
          </w:tcPr>
          <w:p>
            <w:pPr>
              <w:pStyle w:val="null3"/>
            </w:pPr>
            <w:r>
              <w:rPr>
                <w:rFonts w:ascii="仿宋_GB2312" w:hAnsi="仿宋_GB2312" w:cs="仿宋_GB2312" w:eastAsia="仿宋_GB2312"/>
              </w:rPr>
              <w:t>售后服务体系</w:t>
            </w:r>
          </w:p>
        </w:tc>
        <w:tc>
          <w:tcPr>
            <w:tcW w:type="dxa" w:w="2492"/>
          </w:tcPr>
          <w:p>
            <w:pPr>
              <w:pStyle w:val="null3"/>
            </w:pPr>
            <w:r>
              <w:rPr>
                <w:rFonts w:ascii="仿宋_GB2312" w:hAnsi="仿宋_GB2312" w:cs="仿宋_GB2312" w:eastAsia="仿宋_GB2312"/>
              </w:rPr>
              <w:t>所投产品制造商具备有效的售后服务体系完善程度认证，得3分；认证达到高级别星级，额外再加2分，最高5分。 评审依据：投标文件中提供上述证书复印件并加盖投标人公章，未提供或提供不符合要求不得分。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售后服务体系.docx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产品进货渠道正规，有质量保证，无假冒伪劣、瑕疵产品，提供主要产品来源渠道合法的证明文件 (包括但不限于销售协议、代理协议、原厂授权等证明资料。每提供一项产品的证明材料得1分，满分2分，不提供不得分；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一、评审内容：提供完整可行有针对性的实施方案，包含：①供货方案、②安装调试方案、③技术支持方案、④质量保证措施、⑤验收方案。 二、评审标准：每项内容完整可行且有针对性得2分，缺漏项不得分，满分 10 分；每项内容中每有一处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一、评审内容：提供完整可行有针对性的售后服务方案，包含：①售后服务范围及保障措施、②应急保障方案、③培训方案、④故障处理及补救措施、⑤备品配件服务承诺。 二、评审标准：每项内容完整可行且有针对性得2分，缺漏项不得分，满分10分；每项内容中每有一处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供应商针对本项目配备的人员团队： ①团队组织构架，得1分； ②人员配备6人及以上得2分，5 人以下不得分，提供团队人员详细信息（内容应包含：人员姓名、年龄、学历、专业技能、工作经验、缴纳的社保证明材料等）不提供或缺项不得分。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 2023年1月1日起至投标截止时间（以合同签订时间为准）与本项目类似业绩，以加盖公章的业绩合同复印件、中标通知书复印件及发票复印件为准，每提供一个得2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 其价格分为满分。其他投标人的价格分统一按照下列公式计算： 投标报价得分 =(评标基准价/投标报价)×30 注: 如投标人为小微企业、监狱企业、 福利企业的，价格给予10%的扣除 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1.项目负责人4分：具备教育类高级职称或5年以上相关经验得2分；担任过类似项目负责人，每项1分，最高2分。 2.9学科指导专家9分：语文、数学、英语、物理、化学、生物、政治、历史、地理，每配备1名专业匹配的专家得1分。 3.通识培训专家3分：每提供1名符合教师培训、课程教学或教学评价方向的专家得1分，最高3分。 4.服务团队4分：项目统筹、教学协调、后勤组织、质量评价岗位，每配备1类得1分。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项目人员.docx</w:t>
            </w:r>
          </w:p>
        </w:tc>
      </w:tr>
      <w:tr>
        <w:tc>
          <w:tcPr>
            <w:tcW w:type="dxa" w:w="831"/>
            <w:vMerge/>
          </w:tcPr>
          <w:p/>
        </w:tc>
        <w:tc>
          <w:tcPr>
            <w:tcW w:type="dxa" w:w="1661"/>
          </w:tcPr>
          <w:p>
            <w:pPr>
              <w:pStyle w:val="null3"/>
            </w:pPr>
            <w:r>
              <w:rPr>
                <w:rFonts w:ascii="仿宋_GB2312" w:hAnsi="仿宋_GB2312" w:cs="仿宋_GB2312" w:eastAsia="仿宋_GB2312"/>
              </w:rPr>
              <w:t>服务响应与资源</w:t>
            </w:r>
          </w:p>
        </w:tc>
        <w:tc>
          <w:tcPr>
            <w:tcW w:type="dxa" w:w="2492"/>
          </w:tcPr>
          <w:p>
            <w:pPr>
              <w:pStyle w:val="null3"/>
            </w:pPr>
            <w:r>
              <w:rPr>
                <w:rFonts w:ascii="仿宋_GB2312" w:hAnsi="仿宋_GB2312" w:cs="仿宋_GB2312" w:eastAsia="仿宋_GB2312"/>
              </w:rPr>
              <w:t>1.集中培训6分：明确每年不少于6次、合计不少于18学时，并提供课程主题及安排。 2.实践指导5分：明确每年11月、4月各进校1次，每次1天，覆盖两个年级、9个学科及听评课等活动。 3.合作学校与跟岗5分：提供省内合作学校意向材料得3分；每年1—2次访学计划得2分； 4.资料与费用保障6分：资料包编印发放方案3分；专家及工作人员差旅食宿等费用包含在报价中得3分。 效果评价2分：具有培训记录、满意度评价和年度总结安排。</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服务响应与资源.docx</w:t>
            </w:r>
          </w:p>
        </w:tc>
      </w:tr>
      <w:tr>
        <w:tc>
          <w:tcPr>
            <w:tcW w:type="dxa" w:w="831"/>
            <w:vMerge/>
          </w:tcP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围绕教师发展目标、课程与教学能力短板、9学科及两个年级实施难点、学校教学质量提升4个方面进行分析。每个方面分析具体得1分；仅简单提及得0.5分；未涉及得0分。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项目理解与需求分析.docx</w:t>
            </w:r>
          </w:p>
        </w:tc>
      </w:tr>
      <w:tr>
        <w:tc>
          <w:tcPr>
            <w:tcW w:type="dxa" w:w="831"/>
            <w:vMerge/>
          </w:tcPr>
          <w:p/>
        </w:tc>
        <w:tc>
          <w:tcPr>
            <w:tcW w:type="dxa" w:w="1661"/>
          </w:tcPr>
          <w:p>
            <w:pPr>
              <w:pStyle w:val="null3"/>
            </w:pPr>
            <w:r>
              <w:rPr>
                <w:rFonts w:ascii="仿宋_GB2312" w:hAnsi="仿宋_GB2312" w:cs="仿宋_GB2312" w:eastAsia="仿宋_GB2312"/>
              </w:rPr>
              <w:t>教学实施计划</w:t>
            </w:r>
          </w:p>
        </w:tc>
        <w:tc>
          <w:tcPr>
            <w:tcW w:type="dxa" w:w="2492"/>
          </w:tcPr>
          <w:p>
            <w:pPr>
              <w:pStyle w:val="null3"/>
            </w:pPr>
            <w:r>
              <w:rPr>
                <w:rFonts w:ascii="仿宋_GB2312" w:hAnsi="仿宋_GB2312" w:cs="仿宋_GB2312" w:eastAsia="仿宋_GB2312"/>
              </w:rPr>
              <w:t>按5个模块评分：自主学习与专家点评、集中培训、进校实践指导、合作学校与教学共同体、效果评价与成果整理，每个模块2分。模块内容包含目标、时间、人员、实施步骤和成果的得2分；内容较简单或缺少两个以上要素的得1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教学实施计划.docx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训前需求调查、培训过程管理、训后评价改进，每项1分。措施具体且有责任人、检查方式的得1分；措施较简单的得0.5分；未提供得0分。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专家临时变更、行程/天气/设备等突发情况、人员安全与信息安全，每类1分。具有处置流程、责任人和替代措施的得1分；内容较简单的得0.5分；未提供得0分。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2023年1⽉1⽇⾄投标截⽌时间（以合同签订时间为准）与本项目类似业绩，以加盖公章的业绩合同复印件或中标通知书复印件为准，每提供一个得3分，最高计6分，未提供或不按要求提供的此项不得分。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满足招标文件要求且投标价格最低的投标报价为:评标基准价，其价格分为满分。其他投标人的价格分统一按照下列公式计算:投标报价得分=(评标基准价/投标报价)x30 注: 如投标人为小微企业、监狱企业、 福利企业的，价格给予10%的扣除 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详见附件：联合体协议.docx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详见附件：产品实力.docx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详见附件：管理体系.docx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详见附件：售后服务体系.docx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详见附件：服务响应与资源.docx</w:t>
      </w:r>
    </w:p>
    <w:p>
      <w:pPr>
        <w:pStyle w:val="null3"/>
        <w:ind w:firstLine="960"/>
      </w:pPr>
      <w:r>
        <w:rPr>
          <w:rFonts w:ascii="仿宋_GB2312" w:hAnsi="仿宋_GB2312" w:cs="仿宋_GB2312" w:eastAsia="仿宋_GB2312"/>
        </w:rPr>
        <w:t>详见附件：教学实施计划.docx</w:t>
      </w:r>
    </w:p>
    <w:p>
      <w:pPr>
        <w:pStyle w:val="null3"/>
        <w:ind w:firstLine="960"/>
      </w:pPr>
      <w:r>
        <w:rPr>
          <w:rFonts w:ascii="仿宋_GB2312" w:hAnsi="仿宋_GB2312" w:cs="仿宋_GB2312" w:eastAsia="仿宋_GB2312"/>
        </w:rPr>
        <w:t>详见附件：项目理解与需求分析.docx</w:t>
      </w:r>
    </w:p>
    <w:p>
      <w:pPr>
        <w:pStyle w:val="null3"/>
        <w:ind w:firstLine="960"/>
      </w:pPr>
      <w:r>
        <w:rPr>
          <w:rFonts w:ascii="仿宋_GB2312" w:hAnsi="仿宋_GB2312" w:cs="仿宋_GB2312" w:eastAsia="仿宋_GB2312"/>
        </w:rPr>
        <w:t>详见附件：项目人员.docx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详见附件：质量保障方案.docx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