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版本号：HRC-ZBDL-2026-0067920260528001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大荔县2025年防沙治沙补助项目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HRC-ZBDL-2026-00679</w:t>
      </w:r>
      <w:r>
        <w:br/>
      </w:r>
      <w:r>
        <w:br/>
      </w:r>
      <w:r>
        <w:br/>
      </w:r>
    </w:p>
    <w:p>
      <w:pPr>
        <w:pStyle w:val="null3"/>
        <w:jc w:val="center"/>
        <w:outlineLvl w:val="2"/>
      </w:pPr>
      <w:r>
        <w:rPr>
          <w:rFonts w:ascii="仿宋_GB2312" w:hAnsi="仿宋_GB2312" w:cs="仿宋_GB2312" w:eastAsia="仿宋_GB2312"/>
          <w:sz w:val="28"/>
          <w:b/>
        </w:rPr>
        <w:t>大荔县沙苑国有林场</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大荔县沙苑国有林场</w:t>
      </w:r>
      <w:r>
        <w:rPr>
          <w:rFonts w:ascii="仿宋_GB2312" w:hAnsi="仿宋_GB2312" w:cs="仿宋_GB2312" w:eastAsia="仿宋_GB2312"/>
        </w:rPr>
        <w:t>委托，拟对</w:t>
      </w:r>
      <w:r>
        <w:rPr>
          <w:rFonts w:ascii="仿宋_GB2312" w:hAnsi="仿宋_GB2312" w:cs="仿宋_GB2312" w:eastAsia="仿宋_GB2312"/>
        </w:rPr>
        <w:t>大荔县2025年防沙治沙补助项目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HRC-ZBDL-2026-00679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大荔县2025年防沙治沙补助项目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补植补造面积273亩，宣传牌10个，病虫防治美国白蛾诱捕器200套，花绒寄甲100箱，白僵菌40件。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采购包1（荔县沙苑国有林场2025年防沙治沙补助项目）：属于专门面向中小企业采购。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 （2）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 （3）专门面向中小企业采购：本项目专门面向中小企业采购，供应商应为中小型企业或微型企业或监狱企业或残疾人福利性单位。供应商提供《中小企业声明函》，监狱企业或残疾人福利性单位视同小微企业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大荔县沙苑国有林场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陕西省大荔县官池镇街道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大荔县沙苑国有林场经办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19929228269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大荔县沙苑国有林场</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大荔县沙苑国有林场</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大荔县沙苑国有林场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服务内容：是否完全覆盖采购文件及合同约定的全部服务事项 服务质量：是否符合约定的服务标准、技术要求，是否达到预期效果 服务交付资料：是否齐全、规范，符合档案管理要求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地址：大荔县雅轩汤泉酒店北20米（华睿诚项目管理有限公司大荔项目部）</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苗木栽植及抚育管护面积273亩（补植补造：国槐14134株，侧柏6068株；抚育管护，物料费等），宣传牌10个，病虫防治美国白蛾诱捕器200套，花绒寄甲100箱，白僵菌40件。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1,069,000.00</w:t>
      </w:r>
    </w:p>
    <w:p>
      <w:pPr>
        <w:pStyle w:val="null3"/>
      </w:pPr>
      <w:r>
        <w:rPr>
          <w:rFonts w:ascii="仿宋_GB2312" w:hAnsi="仿宋_GB2312" w:cs="仿宋_GB2312" w:eastAsia="仿宋_GB2312"/>
        </w:rPr>
        <w:t>采购包最高限价（元）: 1,069,000.00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大荔县沙苑国有林场2025年防沙治沙补助项目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标的名称：大荔县沙苑国有林场2025年防沙治沙补助项目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服务内容：</w:t>
            </w:r>
          </w:p>
          <w:p>
            <w:pPr>
              <w:pStyle w:val="null3"/>
              <w:jc w:val="both"/>
            </w:pPr>
            <w:r>
              <w:rPr>
                <w:rFonts w:ascii="仿宋_GB2312" w:hAnsi="仿宋_GB2312" w:cs="仿宋_GB2312" w:eastAsia="仿宋_GB2312"/>
                <w:sz w:val="28"/>
              </w:rPr>
              <w:t>苗木栽植及抚育管护</w:t>
            </w:r>
            <w:r>
              <w:rPr>
                <w:rFonts w:ascii="仿宋_GB2312" w:hAnsi="仿宋_GB2312" w:cs="仿宋_GB2312" w:eastAsia="仿宋_GB2312"/>
                <w:sz w:val="28"/>
              </w:rPr>
              <w:t>面积</w:t>
            </w:r>
            <w:r>
              <w:rPr>
                <w:rFonts w:ascii="仿宋_GB2312" w:hAnsi="仿宋_GB2312" w:cs="仿宋_GB2312" w:eastAsia="仿宋_GB2312"/>
                <w:sz w:val="28"/>
              </w:rPr>
              <w:t>273亩</w:t>
            </w:r>
            <w:r>
              <w:rPr>
                <w:rFonts w:ascii="仿宋_GB2312" w:hAnsi="仿宋_GB2312" w:cs="仿宋_GB2312" w:eastAsia="仿宋_GB2312"/>
                <w:sz w:val="28"/>
              </w:rPr>
              <w:t>、</w:t>
            </w:r>
            <w:r>
              <w:rPr>
                <w:rFonts w:ascii="仿宋_GB2312" w:hAnsi="仿宋_GB2312" w:cs="仿宋_GB2312" w:eastAsia="仿宋_GB2312"/>
                <w:sz w:val="28"/>
              </w:rPr>
              <w:t>宣传牌、</w:t>
            </w:r>
            <w:r>
              <w:rPr>
                <w:rFonts w:ascii="仿宋_GB2312" w:hAnsi="仿宋_GB2312" w:cs="仿宋_GB2312" w:eastAsia="仿宋_GB2312"/>
                <w:sz w:val="28"/>
              </w:rPr>
              <w:t>宣传册、</w:t>
            </w:r>
            <w:r>
              <w:rPr>
                <w:rFonts w:ascii="仿宋_GB2312" w:hAnsi="仿宋_GB2312" w:cs="仿宋_GB2312" w:eastAsia="仿宋_GB2312"/>
                <w:sz w:val="28"/>
              </w:rPr>
              <w:t>病虫防治美国白蛾诱捕器、花绒寄甲、白僵菌。</w:t>
            </w:r>
          </w:p>
          <w:p>
            <w:pPr>
              <w:pStyle w:val="null3"/>
              <w:jc w:val="both"/>
            </w:pPr>
            <w:r>
              <w:rPr>
                <w:rFonts w:ascii="仿宋_GB2312" w:hAnsi="仿宋_GB2312" w:cs="仿宋_GB2312" w:eastAsia="仿宋_GB2312"/>
                <w:sz w:val="28"/>
              </w:rPr>
              <w:t>服务要求：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苗木栽植及抚育管护</w:t>
            </w:r>
            <w:r>
              <w:rPr>
                <w:rFonts w:ascii="仿宋_GB2312" w:hAnsi="仿宋_GB2312" w:cs="仿宋_GB2312" w:eastAsia="仿宋_GB2312"/>
                <w:sz w:val="28"/>
              </w:rPr>
              <w:t>273亩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1）补植补造：国槐（胸径：5厘米；苗木高度：2.6米）14134株；侧柏（苗木高度：2.5米）6068株；</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2）物料（GGR6号，30克/株）；</w:t>
            </w:r>
          </w:p>
          <w:p>
            <w:pPr>
              <w:pStyle w:val="null3"/>
              <w:ind w:firstLine="560"/>
              <w:jc w:val="both"/>
            </w:pPr>
            <w:r>
              <w:rPr>
                <w:rFonts w:ascii="仿宋_GB2312" w:hAnsi="仿宋_GB2312" w:cs="仿宋_GB2312" w:eastAsia="仿宋_GB2312"/>
                <w:sz w:val="28"/>
              </w:rPr>
              <w:t>2、宣传牌10个</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1）大型宣传牌2个：①钢架结构；②规格4m*6m；③材质为铁皮方钢钢架24m²方钢柱子；④现浇混凝土基础。</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2）小型宣传牌8个：①钢架结构；②规格2.5m*4m；③材质为铁皮方钢钢架10m²圆管柱子；④现浇混凝土基础。</w:t>
            </w:r>
          </w:p>
          <w:p>
            <w:pPr>
              <w:pStyle w:val="null3"/>
              <w:ind w:firstLine="560"/>
              <w:jc w:val="both"/>
            </w:pPr>
            <w:r>
              <w:rPr>
                <w:rFonts w:ascii="仿宋_GB2312" w:hAnsi="仿宋_GB2312" w:cs="仿宋_GB2312" w:eastAsia="仿宋_GB2312"/>
                <w:sz w:val="28"/>
              </w:rPr>
              <w:t>3、宣传册（彩印）：34690份。</w:t>
            </w:r>
          </w:p>
          <w:p>
            <w:pPr>
              <w:pStyle w:val="null3"/>
              <w:ind w:firstLine="560"/>
              <w:jc w:val="both"/>
            </w:pPr>
            <w:r>
              <w:rPr>
                <w:rFonts w:ascii="仿宋_GB2312" w:hAnsi="仿宋_GB2312" w:cs="仿宋_GB2312" w:eastAsia="仿宋_GB2312"/>
                <w:sz w:val="28"/>
              </w:rPr>
              <w:t>4、美国白蛾诱捕器：200套。</w:t>
            </w:r>
          </w:p>
          <w:p>
            <w:pPr>
              <w:pStyle w:val="null3"/>
              <w:ind w:firstLine="560"/>
              <w:jc w:val="both"/>
            </w:pPr>
            <w:r>
              <w:rPr>
                <w:rFonts w:ascii="仿宋_GB2312" w:hAnsi="仿宋_GB2312" w:cs="仿宋_GB2312" w:eastAsia="仿宋_GB2312"/>
                <w:sz w:val="28"/>
              </w:rPr>
              <w:t>5、花绒寄甲：100箱。</w:t>
            </w:r>
          </w:p>
          <w:p>
            <w:pPr>
              <w:pStyle w:val="null3"/>
              <w:ind w:firstLine="560"/>
              <w:jc w:val="both"/>
            </w:pPr>
            <w:r>
              <w:rPr>
                <w:rFonts w:ascii="仿宋_GB2312" w:hAnsi="仿宋_GB2312" w:cs="仿宋_GB2312" w:eastAsia="仿宋_GB2312"/>
                <w:sz w:val="28"/>
              </w:rPr>
              <w:t>6、白僵菌（每件1kg*10瓶）：40件。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210日历天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大荔县县域内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1、由采购人成立验收小组，负责验收事宜。验收小组由熟悉项目需求人员、财务人员及纪检监察人员代表等组成，人数为3人以上单数。职责分工：采购人代表负责组织协调；中标单位配合验收。 2、验收依据 政府采购服务项目的采购文件、中标（成交）供应商的响应文件、双方签订的政府采购合同 国家、行业相关的服务标准、规范 3、验收流程 供应商在服务完成后，向采购人提交验收申请及服务交付相关资料 采购人收到申请后 5 个工作日内组织验收小组开展验收 验收小组按照验收标准核查服务完成情况，形成验收记录 验收合格的，出具《政府采购服务项目验收报告》；验收不合格的，出具整改通知书，明确整改要求与时限，整改后重新验收 4、验收标准 服务内容：是否完全覆盖采购文件及合同约定的全部服务事项 服务质量：是否符合约定的服务标准、技术要求，是否达到预期效果 服务交付资料：是否齐全、规范，符合档案管理要求 5、争议处理 验收过程中出现争议的，验收小组可组织会商，或委托第三方机构进行复核，相关费用由责任方承担 对验收结果存在异议的，可按照政府采购相关法规及合同约定的途径申诉 6、验收公示 采购人应在采购项目履约验收完成后7个工作日内完成公示信息整理，并在陕西省政府采购网进行公示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进度款，所有服务内容完成，验收合格，达到付款条件起10个工作日内，支付合同总金额的100.0%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 照执行，自然人提供身份证明）；2）提供2024或2025年度经审计的财务报告（包含审计 报告和审计报告中所涉及的财务报表和报表附注）或提供响应文件提交截止日六个月内银行 出具的资信证明（附基本账户证明）；3)有依法缴纳税收和社会保障资金的良好记录：税收 缴纳证明：提供投标文件提交截止时间前近半年内任意一月已缴纳的纳税证 明或完税证明， 依法免税或不需要缴纳税收的供应商应提供相关证明文件；社保缴纳证明：提供投标文件提 交截止时间前近半年内任意一月已缴存的社会保障资金缴费证明或参保证明，依法不需要缴 纳社会保障资金的供应商应提供相关证明文件； 4)具有履行合同所必需的设备和专业技术能 力（提供承诺函）； 5)参加政府采购活动前三年内， 在经营活动中没有重大违法记录（提 供书面声 明）；6)法律、行政法规规定的其他条件（提供承诺函）；按要求上传相应证明文 件并进行电子签章，供应商需在项目电子化交易系统中按要求填写《投标函》完成承诺并进 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 报表附注）或提供响应文件提交截止日六个月内银行出具的资信证明（附基本账户证明），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代表人参加的，须出具法定代表人授权书（附法定代表人、授权代表人身份证复印件）及授权代表人在本单位证明（提供开标前三个月内在本单位的社保缴纳记录），法定代表人参加需提供法人证明书及本人身份证复印件。 （2）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处罚决定规定的时间和地域范围内）； （3）专门面向中小企业采购：本项目专门面向中小企业采购，供应商应为中小型企业或微型企业或监狱企业或残疾人福利性单位。供应商提供《中小企业声明函》，监狱企业或残疾人福利性单位视同小微企业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残疾人福利性单位声明函 中小企业声明函 资格证明材料.docx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响应文件封面 技术服务方案.docx 服务内容及服务邀请应答表 中小企业声明函 残疾人福利性单位声明函 商务应答表 报价明细表.pdf 标的清单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 响应文件的签署、加盖印章合格、有效；投标 有效期与授权期限满足磋商文件规定</w:t>
            </w:r>
          </w:p>
        </w:tc>
        <w:tc>
          <w:tcPr>
            <w:tcW w:type="dxa" w:w="1661"/>
          </w:tcPr>
          <w:p>
            <w:pPr>
              <w:pStyle w:val="null3"/>
            </w:pPr>
            <w:r>
              <w:rPr>
                <w:rFonts w:ascii="仿宋_GB2312" w:hAnsi="仿宋_GB2312" w:cs="仿宋_GB2312" w:eastAsia="仿宋_GB2312"/>
              </w:rPr>
              <w:t>技术服务方案.docx 响应文件封面 服务内容及服务邀请应答表 中小企业声明函 残疾人福利性单位声明函 商务应答表 报价明细表.pdf 标的清单 报价表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服务内容及其他商务要求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报价明细表.pdf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提出适用于本项目的实施方案。包括但不限于：①项目目标及认知；②总体实施方案；③药品的保管与使用；④森林修复具体作业方法（疏伐、割灌、补植补造、抚育剩余物处理与病虫害木处理、宣传牌建设等）；⑤幼林抚育方案。 以上各项内容全面明确、阐述条理清晰得20 分，每缺一项扣4分，每项中的内容存在缺陷，扣0.5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投标人针对本项目提出适用于本项目的质量保证方案。包括但不限于：①质量保证体系；②质量保证的具体措施。 以上各项内容全面明确、阐述条理清晰得10 分，每缺一项扣5分，每项中的内容存在缺陷，扣0.5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投标人针对本项目提出适用于本项目的项目实施进度计划，包括但不限于：①项目实施进度计划；②项目进度保障措施。 以上各项内容全面明确、阐述条理清晰得6 分，每缺一项扣3分，每项中的内容存在缺陷，扣0.5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野外作业安全措施及应急管理方案</w:t>
            </w:r>
          </w:p>
        </w:tc>
        <w:tc>
          <w:tcPr>
            <w:tcW w:type="dxa" w:w="2492"/>
          </w:tcPr>
          <w:p>
            <w:pPr>
              <w:pStyle w:val="null3"/>
            </w:pPr>
            <w:r>
              <w:rPr>
                <w:rFonts w:ascii="仿宋_GB2312" w:hAnsi="仿宋_GB2312" w:cs="仿宋_GB2312" w:eastAsia="仿宋_GB2312"/>
              </w:rPr>
              <w:t>投标人针对本项目提出适用于本项目的野外作业安全措施及应急管理方案，包括但不限于:①森林防火措施；②野外作业安全保障措施；③野外作业应急管理方案。 以上各项内容全面明确、阐述条理清晰得9 分，每缺一项扣3分，每项中的内容存在缺陷，扣0.5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生物多样性保护与环境保护措施</w:t>
            </w:r>
          </w:p>
        </w:tc>
        <w:tc>
          <w:tcPr>
            <w:tcW w:type="dxa" w:w="2492"/>
          </w:tcPr>
          <w:p>
            <w:pPr>
              <w:pStyle w:val="null3"/>
            </w:pPr>
            <w:r>
              <w:rPr>
                <w:rFonts w:ascii="仿宋_GB2312" w:hAnsi="仿宋_GB2312" w:cs="仿宋_GB2312" w:eastAsia="仿宋_GB2312"/>
              </w:rPr>
              <w:t>投标人针对本项目提出适用于本项目的生物多样性与环境保护措施，包括但不限于:①生物多样性保护措施；②环境保护措施。 以上各项内容全面明确、阐述条理清晰得6 分，每缺一项扣3分，每项中的内容存在缺陷，扣0.5 分，扣完为止。 备注：缺陷是指内容不合理、虽有内容但不完善、内容表述前后不一致、套用其他项目方案或与项目需求不匹配及其他不利 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工器具配置</w:t>
            </w:r>
          </w:p>
        </w:tc>
        <w:tc>
          <w:tcPr>
            <w:tcW w:type="dxa" w:w="2492"/>
          </w:tcPr>
          <w:p>
            <w:pPr>
              <w:pStyle w:val="null3"/>
            </w:pPr>
            <w:r>
              <w:rPr>
                <w:rFonts w:ascii="仿宋_GB2312" w:hAnsi="仿宋_GB2312" w:cs="仿宋_GB2312" w:eastAsia="仿宋_GB2312"/>
              </w:rPr>
              <w:t>投标人针对本项目提出适用于本项目的工器具配置方案，包括但不限于：①工器具配置清单；②工器具维护方案；③工器具供应保障措施。以上各项内容全面明确、阐述条理清晰得9 分，每缺一项扣3分，每项中的内容存在缺陷，扣0.5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人针对本项目提出适用于本项目的项目团队配置方案，包括但不限于①团队组织人员配置明细；②团队人员管理制度；③各专业岗位配置；④配置人员相关证书证件及工作经验；⑤提供人员到场及不更换人员承诺。 以上各项内容全面明确、阐述条理清晰得10 分，每缺一项扣2分，每项中的内容存在缺陷，扣0.5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后期服务方案及承诺</w:t>
            </w:r>
          </w:p>
        </w:tc>
        <w:tc>
          <w:tcPr>
            <w:tcW w:type="dxa" w:w="2492"/>
          </w:tcPr>
          <w:p>
            <w:pPr>
              <w:pStyle w:val="null3"/>
            </w:pPr>
            <w:r>
              <w:rPr>
                <w:rFonts w:ascii="仿宋_GB2312" w:hAnsi="仿宋_GB2312" w:cs="仿宋_GB2312" w:eastAsia="仿宋_GB2312"/>
              </w:rPr>
              <w:t>投标人针对本项目提出适用于本项目的后期服务方案及承诺，包括但不限于：①苗木质量承诺（中标后提供苗木两证一签及林木种子经营许可证）；②后期服务方案及承诺（对森林修复效果的验收、以及出现特殊情况的后期补植、管护等）。 以上各项内容全面明确、阐述条理清晰得6 分，每缺一项扣3分，每项中的内容存在缺陷，扣0.5 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投标人提供2023 年1 月1 日至今完成的类似业绩证明，每提供一份计2 分，最高计4.0 分；（以合同签订日期为准） 注：业绩须是供应商完成的类似项目，以成交通知书或协议书（合同）原件或加盖公章的复印件为准。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的计算方法为：价格分应当采用低价优先法计算，即满足竞争性磋商响应文件要求且最后报价最低的供应商价格为评标基准价，其价格分为满分。投标人的价格分统一按照下列公式计算：报价得分=（磋商基准价/最后磋商报价）×报价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详见附件：报价明细表.pdf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