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版本号：ZZZC2026-011.1B220260618001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2026年全市中小企业主要负责人和安全管理人员培训项目(三次)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ZZZC2026-011.1B2</w:t>
      </w:r>
      <w:r>
        <w:br/>
      </w:r>
      <w:r>
        <w:br/>
      </w:r>
      <w:r>
        <w:br/>
      </w:r>
    </w:p>
    <w:p>
      <w:pPr>
        <w:pStyle w:val="null3"/>
        <w:jc w:val="center"/>
        <w:outlineLvl w:val="2"/>
      </w:pPr>
      <w:r>
        <w:rPr>
          <w:rFonts w:ascii="仿宋_GB2312" w:hAnsi="仿宋_GB2312" w:cs="仿宋_GB2312" w:eastAsia="仿宋_GB2312"/>
          <w:sz w:val="28"/>
          <w:b/>
        </w:rPr>
        <w:t>西安市应急管理局（本级）</w:t>
      </w:r>
    </w:p>
    <w:p>
      <w:pPr>
        <w:pStyle w:val="null3"/>
        <w:jc w:val="center"/>
        <w:outlineLvl w:val="2"/>
      </w:pPr>
      <w:r>
        <w:rPr>
          <w:rFonts w:ascii="仿宋_GB2312" w:hAnsi="仿宋_GB2312" w:cs="仿宋_GB2312" w:eastAsia="仿宋_GB2312"/>
          <w:sz w:val="28"/>
          <w:b/>
        </w:rPr>
        <w:t>中招(陕西)项目管理有限公司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中招(陕西)项目管理有限公司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西安市应急管理局（本级）</w:t>
      </w:r>
      <w:r>
        <w:rPr>
          <w:rFonts w:ascii="仿宋_GB2312" w:hAnsi="仿宋_GB2312" w:cs="仿宋_GB2312" w:eastAsia="仿宋_GB2312"/>
        </w:rPr>
        <w:t>委托，拟对</w:t>
      </w:r>
      <w:r>
        <w:rPr>
          <w:rFonts w:ascii="仿宋_GB2312" w:hAnsi="仿宋_GB2312" w:cs="仿宋_GB2312" w:eastAsia="仿宋_GB2312"/>
        </w:rPr>
        <w:t>2026年全市中小企业主要负责人和安全管理人员培训项目(三次)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ZZZC2026-011.1B2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2026年全市中小企业主要负责人和安全管理人员培训项目(三次)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全市中小企业主要负责人和安全管理人员培训项目拟依托干部教育培训机构完成，本项目坚持安全第一、预防为主，坚持分类、全面覆盖，通过持续强化重点行业领域中小企业主要负责人和安全生产管理人员安全生产及工伤预防培训，督促企业牢固树立安全发展理念，全面提高从业人员工伤预防意识和安全防范技能，不断提升企业本质安全水平，有效防范遏制各类生产安全事故发生。参训学员全部封闭式住宿管理，每期培训时间为5天，采取专题讲座、案例警示、分组讨论等面授方式组织培训，培训人数约660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其他组织的营业执照/事业单位法人证书/非企业专业服务机构执业许可证/民办非企业单位登记证书：提供供应商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开标前六个月内其基本开户银行出具的资信证明或政府采购信用担保机构出具的担保函；注：财会〔2023〕15号文《财政部 国务院国资委 金融监管总局关于加强审计报告查验工作的通知》会计师事务所应当主动向被审计单位提供附验证码的审计报告。即2023年及以后的审计报告需附验证码；</w:t>
      </w:r>
    </w:p>
    <w:p>
      <w:pPr>
        <w:pStyle w:val="null3"/>
      </w:pPr>
      <w:r>
        <w:rPr>
          <w:rFonts w:ascii="仿宋_GB2312" w:hAnsi="仿宋_GB2312" w:cs="仿宋_GB2312" w:eastAsia="仿宋_GB2312"/>
        </w:rPr>
        <w:t>3、税收缴纳证明：税收缴纳证明：提供截止至开标时间前一年内任意一个月的缴纳凭据（增值税、企业所得税至少提供一种，依法免税的供应商应提供相关文件证明）；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开标时间前一年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p>
      <w:pPr>
        <w:pStyle w:val="null3"/>
      </w:pPr>
      <w:r>
        <w:rPr>
          <w:rFonts w:ascii="仿宋_GB2312" w:hAnsi="仿宋_GB2312" w:cs="仿宋_GB2312" w:eastAsia="仿宋_GB2312"/>
        </w:rPr>
        <w:t>8、信用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在磋商截止日当天在“信用中国”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9、控股关系查询：单位负责人为同一人或者存在直接控股、管理关系的不同供应商，不得参加同一合同项下的政府采购活动。（根据财库〔2019〕38号文规定，此项在磋商截止日当天在“国家企业信用信息公示系统”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西安市应急管理局（本级）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西安市凤城七路旭辉中心2号楼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029-86517183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中招(陕西)项目管理有限公司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陕西省西安市未央区北二环华帝金座A座903室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侯工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029-68656808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采购包1：1,422,600.00元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服务费收费标准参照原《国家计委关于印发&lt;招标代理服务收费管理暂行办法&gt;的通知》(计价格〔2002〕1980号)、《国家发展改革委关于降低部分建设项目收费标准规范收费行为等有关问题的通知》(发改价格〔2011〕534号)规定执行。 1.开户行名称：中招(陕西)项目管理有限公司 2.开 户 行：中国建设银行股份有限公司泾阳县中心街支行 3.账 号：6105 0163 7355 0911 1111 备注：供应商在汇款时须注明项目编号+项目简称</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西安市应急管理局（本级）</w:t>
      </w:r>
      <w:r>
        <w:rPr>
          <w:rFonts w:ascii="仿宋_GB2312" w:hAnsi="仿宋_GB2312" w:cs="仿宋_GB2312" w:eastAsia="仿宋_GB2312"/>
        </w:rPr>
        <w:t>和</w:t>
      </w:r>
      <w:r>
        <w:rPr>
          <w:rFonts w:ascii="仿宋_GB2312" w:hAnsi="仿宋_GB2312" w:cs="仿宋_GB2312" w:eastAsia="仿宋_GB2312"/>
        </w:rPr>
        <w:t>中招(陕西)项目管理有限公司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西安市应急管理局（本级）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中招(陕西)项目管理有限公司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西安市应急管理局（本级）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中招(陕西)项目管理有限公司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由采购人和成交人共同对项目整体进行验收。其内容包括确认服务的成果、数量以及服务质量是否达到采购人或行业标准： (1)所验服务的质量通过验收达不到磋商文件要求和响应文件承诺的，或在使用中发现采购人不能容忍的缺陷等，将视为验收不合格，成交人应无条件免费修改，直至满足采购人要求。 (2)若发现成交人有弄虚作假的,在投标阶段故意或随意夸大服务内容、服务质量，成交人应无条件退款，并赔偿采购人相应的损失，赔偿金额双方协商确定。 (3)验收标准：按磋商文件、响应文件及澄清函等技术指标进行验收。各项指标均应符合验收标准及要求。 (4)验收合格后，填写验收单，双方签字生效。 (5)验收依据：合同文本；响应文件及澄清函、磋商文件；国家和行业制定的相应的标准和规范；验收清单。</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联系人：侯工</w:t>
      </w:r>
    </w:p>
    <w:p>
      <w:pPr>
        <w:pStyle w:val="null3"/>
      </w:pPr>
      <w:r>
        <w:rPr>
          <w:rFonts w:ascii="仿宋_GB2312" w:hAnsi="仿宋_GB2312" w:cs="仿宋_GB2312" w:eastAsia="仿宋_GB2312"/>
        </w:rPr>
        <w:t>联系电话：029-68656808</w:t>
      </w:r>
    </w:p>
    <w:p>
      <w:pPr>
        <w:pStyle w:val="null3"/>
      </w:pPr>
      <w:r>
        <w:rPr>
          <w:rFonts w:ascii="仿宋_GB2312" w:hAnsi="仿宋_GB2312" w:cs="仿宋_GB2312" w:eastAsia="仿宋_GB2312"/>
        </w:rPr>
        <w:t>地址：陕西省西安市未央区北二环华帝金座A座903室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全市中小企业主要负责人和安全管理人员培训项目拟依托干部教育培训机构完成，本项目坚持安全第一、预防为主，坚持分类、全面覆盖，通过持续强化重点行业领域中小企业主要负责人和安全生产管理人员安全生产及工伤预防培训，督促企业牢固树立安全发展理念，全面提高从业人员工伤预防意识和安全防范技能，不断提升企业本质安全水平，有效防范遏制各类生产安全事故发生。参训学员全部封闭式住宿管理，每期培训时间为5天，采取专题讲座、案例警示、分组讨论等面授方式组织培训，培训人数约660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1,422,600.00</w:t>
      </w:r>
    </w:p>
    <w:p>
      <w:pPr>
        <w:pStyle w:val="null3"/>
      </w:pPr>
      <w:r>
        <w:rPr>
          <w:rFonts w:ascii="仿宋_GB2312" w:hAnsi="仿宋_GB2312" w:cs="仿宋_GB2312" w:eastAsia="仿宋_GB2312"/>
        </w:rPr>
        <w:t>采购包最高限价（元）: 1,422,600.00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2026年全市中小企业主要负责人和安全管理人员培训项目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1,422,600.00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标的名称：2026年全市中小企业主要负责人和安全管理人员培训项目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792"/>
              <w:jc w:val="both"/>
            </w:pPr>
            <w:r>
              <w:rPr>
                <w:rFonts w:ascii="仿宋_GB2312" w:hAnsi="仿宋_GB2312" w:cs="仿宋_GB2312" w:eastAsia="仿宋_GB2312"/>
              </w:rPr>
              <w:t>一、培训服务概况</w:t>
            </w:r>
          </w:p>
          <w:p>
            <w:pPr>
              <w:pStyle w:val="null3"/>
            </w:pPr>
            <w:r>
              <w:rPr>
                <w:rFonts w:ascii="仿宋_GB2312" w:hAnsi="仿宋_GB2312" w:cs="仿宋_GB2312" w:eastAsia="仿宋_GB2312"/>
              </w:rPr>
              <w:t>服务内容：依托干部教育培训机构，通过持续强化重点行业领域中小企业主要负责人和安全生产管理人员安全生产及工伤预防培训，督促企业牢固树立安全发展理念，全面提高从业人员工伤预防意识和安全防范技能，不断提升企业本质安全水平，有效防范遏制各类生产安全事故发生。参训学员全部封闭式住宿管理，每期培训时间为5天，采取专题讲座、案例警示、分组讨论等面授方式组织培训，培训人数约660人。此次培训对象为我市危险化学品和工贸行业领域中小企业主要负责人和安全管理人员。其中危险化学品领域300人，工贸领域360人，共计660人。</w:t>
            </w:r>
          </w:p>
          <w:p>
            <w:pPr>
              <w:pStyle w:val="null3"/>
            </w:pPr>
            <w:r>
              <w:rPr>
                <w:rFonts w:ascii="仿宋_GB2312" w:hAnsi="仿宋_GB2312" w:cs="仿宋_GB2312" w:eastAsia="仿宋_GB2312"/>
              </w:rPr>
              <w:t>1.专家：每期邀请专业人员，共10期，每期5天；</w:t>
            </w:r>
          </w:p>
          <w:p>
            <w:pPr>
              <w:pStyle w:val="null3"/>
            </w:pPr>
            <w:r>
              <w:rPr>
                <w:rFonts w:ascii="仿宋_GB2312" w:hAnsi="仿宋_GB2312" w:cs="仿宋_GB2312" w:eastAsia="仿宋_GB2312"/>
              </w:rPr>
              <w:t>2.学员：每期参加培训学员约66人，共10期，共计660人;</w:t>
            </w:r>
          </w:p>
          <w:p>
            <w:pPr>
              <w:pStyle w:val="null3"/>
            </w:pPr>
            <w:r>
              <w:rPr>
                <w:rFonts w:ascii="仿宋_GB2312" w:hAnsi="仿宋_GB2312" w:cs="仿宋_GB2312" w:eastAsia="仿宋_GB2312"/>
              </w:rPr>
              <w:t>3.住宿：两人标间，10期共计666人（含工作人员6名），每期5天；住宿场地要配备必要的消防设备，满足住宿及教学的消防要求；</w:t>
            </w:r>
          </w:p>
          <w:p>
            <w:pPr>
              <w:pStyle w:val="null3"/>
            </w:pPr>
            <w:r>
              <w:rPr>
                <w:rFonts w:ascii="仿宋_GB2312" w:hAnsi="仿宋_GB2312" w:cs="仿宋_GB2312" w:eastAsia="仿宋_GB2312"/>
              </w:rPr>
              <w:t>4.伙食：包括早、中、晚三餐，共计666人（含工作人员6名）。</w:t>
            </w:r>
          </w:p>
          <w:p>
            <w:pPr>
              <w:pStyle w:val="null3"/>
            </w:pPr>
            <w:r>
              <w:rPr>
                <w:rFonts w:ascii="仿宋_GB2312" w:hAnsi="仿宋_GB2312" w:cs="仿宋_GB2312" w:eastAsia="仿宋_GB2312"/>
              </w:rPr>
              <w:t>5.资料：660份（共计660人，每人1份）。</w:t>
            </w:r>
          </w:p>
          <w:p>
            <w:pPr>
              <w:pStyle w:val="null3"/>
            </w:pPr>
            <w:r>
              <w:rPr>
                <w:rFonts w:ascii="仿宋_GB2312" w:hAnsi="仿宋_GB2312" w:cs="仿宋_GB2312" w:eastAsia="仿宋_GB2312"/>
              </w:rPr>
              <w:t>备注：包含师资费、住宿费、伙食费，资料、场地费用等。</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二、培训要求</w:t>
            </w:r>
          </w:p>
          <w:p>
            <w:pPr>
              <w:pStyle w:val="null3"/>
            </w:pPr>
            <w:r>
              <w:rPr>
                <w:rFonts w:ascii="仿宋_GB2312" w:hAnsi="仿宋_GB2312" w:cs="仿宋_GB2312" w:eastAsia="仿宋_GB2312"/>
              </w:rPr>
              <w:t>1.对培训场地设施的要求</w:t>
            </w:r>
          </w:p>
          <w:p>
            <w:pPr>
              <w:pStyle w:val="null3"/>
            </w:pPr>
            <w:r>
              <w:rPr>
                <w:rFonts w:ascii="仿宋_GB2312" w:hAnsi="仿宋_GB2312" w:cs="仿宋_GB2312" w:eastAsia="仿宋_GB2312"/>
              </w:rPr>
              <w:t>供应商必须有能够满足本项目采购需求的独立培训场所，场所应当拥有足够的空间和设施，以确保参训人员教育培训有序开展。其中，为了确保能够提供给学员们一个良好的学习环境，授课教室作为学习和交流的核心场所，必须具备能够同时容纳一期参训人员的条件。另外，还要配备相应的分组研讨教室。</w:t>
            </w:r>
          </w:p>
          <w:p>
            <w:pPr>
              <w:pStyle w:val="null3"/>
            </w:pPr>
            <w:r>
              <w:rPr>
                <w:rFonts w:ascii="仿宋_GB2312" w:hAnsi="仿宋_GB2312" w:cs="仿宋_GB2312" w:eastAsia="仿宋_GB2312"/>
              </w:rPr>
              <w:t>2.对授课老师的要求</w:t>
            </w:r>
          </w:p>
          <w:p>
            <w:pPr>
              <w:pStyle w:val="null3"/>
            </w:pPr>
            <w:r>
              <w:rPr>
                <w:rFonts w:ascii="仿宋_GB2312" w:hAnsi="仿宋_GB2312" w:cs="仿宋_GB2312" w:eastAsia="仿宋_GB2312"/>
              </w:rPr>
              <w:t>授课老师必须具备高尚的职业道德修养，以身作则，为人师表；必须拥有扎实的专业知识基础，精通所教授的专业领域，能够将复杂的专业知识讲解得浅显易懂；必须具备丰富的实际工作经验，能够将理论与实践相结合，以增强培训的针对性和实效性。</w:t>
            </w:r>
          </w:p>
          <w:p>
            <w:pPr>
              <w:pStyle w:val="null3"/>
            </w:pPr>
            <w:r>
              <w:rPr>
                <w:rFonts w:ascii="仿宋_GB2312" w:hAnsi="仿宋_GB2312" w:cs="仿宋_GB2312" w:eastAsia="仿宋_GB2312"/>
              </w:rPr>
              <w:t>供应商需严格按照培训项目主办方要求的师资力量来聘请授课老师。应积极主动地邀请高校的专家教授以及行业内的业务骨干来参与授课。</w:t>
            </w:r>
          </w:p>
          <w:p>
            <w:pPr>
              <w:pStyle w:val="null3"/>
            </w:pPr>
            <w:r>
              <w:rPr>
                <w:rFonts w:ascii="仿宋_GB2312" w:hAnsi="仿宋_GB2312" w:cs="仿宋_GB2312" w:eastAsia="仿宋_GB2312"/>
              </w:rPr>
              <w:t>3.对课程设置的要求</w:t>
            </w:r>
          </w:p>
          <w:p>
            <w:pPr>
              <w:pStyle w:val="null3"/>
            </w:pPr>
            <w:r>
              <w:rPr>
                <w:rFonts w:ascii="仿宋_GB2312" w:hAnsi="仿宋_GB2312" w:cs="仿宋_GB2312" w:eastAsia="仿宋_GB2312"/>
              </w:rPr>
              <w:t>课程的实施必须严格遵守培训项目所规定的学时要求，以确保执行过程的严谨性，课程内容的设计应注重理论知识与实际操作的紧密结合，避免理论与实践脱节。要通过精心设计的案例分析、分组研讨等多种教学方式，有效地提高参训人员的实践能力和解决实际问题的能力。每天授课4-8学时，每学时不少于45分钟。</w:t>
            </w:r>
          </w:p>
          <w:p>
            <w:pPr>
              <w:pStyle w:val="null3"/>
            </w:pPr>
            <w:r>
              <w:rPr>
                <w:rFonts w:ascii="仿宋_GB2312" w:hAnsi="仿宋_GB2312" w:cs="仿宋_GB2312" w:eastAsia="仿宋_GB2312"/>
              </w:rPr>
              <w:t>4.对使用教材的要求</w:t>
            </w:r>
          </w:p>
          <w:p>
            <w:pPr>
              <w:pStyle w:val="null3"/>
            </w:pPr>
            <w:r>
              <w:rPr>
                <w:rFonts w:ascii="仿宋_GB2312" w:hAnsi="仿宋_GB2312" w:cs="仿宋_GB2312" w:eastAsia="仿宋_GB2312"/>
              </w:rPr>
              <w:t>教材必须紧密结合参训人员的具体情况，制定出具有时效性、针对性的学习内容。教材需要涵盖广泛的理论知识，还应当深入分析参训人员在实际工作过程中可能遇到的各种问题，并提供相应的解决方案。此外，教材应包含对当前政策的深入解读，为参训人员提供清晰的业务指导，以及丰富的实践案例分析，从而帮助他们全面提升自身的综合素质和业务能力。</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三、后勤保障要求</w:t>
            </w:r>
          </w:p>
          <w:p>
            <w:pPr>
              <w:pStyle w:val="null3"/>
            </w:pPr>
            <w:r>
              <w:rPr>
                <w:rFonts w:ascii="仿宋_GB2312" w:hAnsi="仿宋_GB2312" w:cs="仿宋_GB2312" w:eastAsia="仿宋_GB2312"/>
              </w:rPr>
              <w:t>1.负责培训期间的全程保障。包括：组织培训前报到接待，桌签、横幅等培训会场保障；会议资料保障（学员证、学员手册制作、学习文具、学习资料等）；授课设备保障；培训结束后，问卷调查、培训证书发放等工作。其中，会场要求：要拥有一个与承接项目相适应的培训场地，能容纳项目中的最大培训班人数（≥70人）；培训场地要配备满足需要的音响设备，多媒体演示设备（笔记本电脑、投影仪、LED演示屏、话筒等）。</w:t>
            </w:r>
          </w:p>
          <w:p>
            <w:pPr>
              <w:pStyle w:val="null3"/>
            </w:pPr>
            <w:r>
              <w:rPr>
                <w:rFonts w:ascii="仿宋_GB2312" w:hAnsi="仿宋_GB2312" w:cs="仿宋_GB2312" w:eastAsia="仿宋_GB2312"/>
              </w:rPr>
              <w:t>2.负责保障培训期间的全天食宿（含报到当天简餐）。</w:t>
            </w:r>
          </w:p>
          <w:p>
            <w:pPr>
              <w:pStyle w:val="null3"/>
            </w:pPr>
            <w:r>
              <w:rPr>
                <w:rFonts w:ascii="仿宋_GB2312" w:hAnsi="仿宋_GB2312" w:cs="仿宋_GB2312" w:eastAsia="仿宋_GB2312"/>
              </w:rPr>
              <w:t>住宿要求：住宿客房数量要能至少满足一次性入住一期参训人员的接待能力，房间宽敞、明亮，房内有独立卫浴且供应热水，电视、电话、空调等设备正常运行，包括相关客房服务。</w:t>
            </w:r>
          </w:p>
          <w:p>
            <w:pPr>
              <w:pStyle w:val="null3"/>
            </w:pPr>
            <w:r>
              <w:rPr>
                <w:rFonts w:ascii="仿宋_GB2312" w:hAnsi="仿宋_GB2312" w:cs="仿宋_GB2312" w:eastAsia="仿宋_GB2312"/>
              </w:rPr>
              <w:t>餐厅要求：（1）餐厅须具备食品经营许可证（或相关部门备案），或由供应商出具卫生承诺书（承诺餐厅卫生须符合国家卫生相关要求），须在响应文件中附食品经营许可证复印件或卫生承诺书。</w:t>
            </w:r>
          </w:p>
          <w:p>
            <w:pPr>
              <w:pStyle w:val="null3"/>
            </w:pPr>
            <w:r>
              <w:rPr>
                <w:rFonts w:ascii="仿宋_GB2312" w:hAnsi="仿宋_GB2312" w:cs="仿宋_GB2312" w:eastAsia="仿宋_GB2312"/>
              </w:rPr>
              <w:t>（2）拥有至少能接待一期参训人员同时就餐的供餐环境。</w:t>
            </w:r>
          </w:p>
          <w:p>
            <w:pPr>
              <w:pStyle w:val="null3"/>
            </w:pPr>
            <w:r>
              <w:rPr>
                <w:rFonts w:ascii="仿宋_GB2312" w:hAnsi="仿宋_GB2312" w:cs="仿宋_GB2312" w:eastAsia="仿宋_GB2312"/>
              </w:rPr>
              <w:t>（3）在提供餐饮服务时，就餐方式为自助餐，菜品不低于10菜（6荤、4素）、1汤、1点心。须合理配置菜单，并将用餐安排、菜单提前与采购人沟通、接受采购人协商调整。</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四、其他服务要求</w:t>
            </w:r>
          </w:p>
          <w:p>
            <w:pPr>
              <w:pStyle w:val="null3"/>
            </w:pPr>
            <w:r>
              <w:rPr>
                <w:rFonts w:ascii="仿宋_GB2312" w:hAnsi="仿宋_GB2312" w:cs="仿宋_GB2312" w:eastAsia="仿宋_GB2312"/>
              </w:rPr>
              <w:t>1.供应商无正当理由不得拒绝培训服务；不得以任何理由向学员收取费用；不得减少服务项目降低服务质量；不得提供虚假发票；不得不按规定提供发票、费用原始明细单据、电子结算单等凭证；不得不配合、甚至干扰阻挠采购人正常核查工作。</w:t>
            </w:r>
          </w:p>
          <w:p>
            <w:pPr>
              <w:pStyle w:val="null3"/>
            </w:pPr>
            <w:r>
              <w:rPr>
                <w:rFonts w:ascii="仿宋_GB2312" w:hAnsi="仿宋_GB2312" w:cs="仿宋_GB2312" w:eastAsia="仿宋_GB2312"/>
              </w:rPr>
              <w:t>2.供应商提供的场地以及服务质量均符合培训要求，能够圆满完成各项培训工作任务；各项培训活动的组织管理规范，保障到位。</w:t>
            </w:r>
          </w:p>
          <w:p>
            <w:pPr>
              <w:pStyle w:val="null3"/>
            </w:pPr>
            <w:r>
              <w:rPr>
                <w:rFonts w:ascii="仿宋_GB2312" w:hAnsi="仿宋_GB2312" w:cs="仿宋_GB2312" w:eastAsia="仿宋_GB2312"/>
              </w:rPr>
              <w:t>3.供应商应保证采购人获得优先服务的权利，积极主动与采购人配合，按磋商文件承诺的标准和质量为采购人提供服务；并在不超过承诺的期限内完成培训工作。</w:t>
            </w:r>
          </w:p>
          <w:p>
            <w:pPr>
              <w:pStyle w:val="null3"/>
            </w:pPr>
            <w:r>
              <w:rPr>
                <w:rFonts w:ascii="仿宋_GB2312" w:hAnsi="仿宋_GB2312" w:cs="仿宋_GB2312" w:eastAsia="仿宋_GB2312"/>
              </w:rPr>
              <w:t>4.供应商应设有固定联系电话及联系人，及时响应采购人的各项要求。</w:t>
            </w:r>
          </w:p>
          <w:p>
            <w:pPr>
              <w:pStyle w:val="null3"/>
            </w:pPr>
            <w:r>
              <w:rPr>
                <w:rFonts w:ascii="仿宋_GB2312" w:hAnsi="仿宋_GB2312" w:cs="仿宋_GB2312" w:eastAsia="仿宋_GB2312"/>
              </w:rPr>
              <w:t>5.供应商在接待住宿人员时，必须做到实名登记；在提供培训服务时，须如实向采购人提供有关信息，具体包括：会场名称、培训人数、培训时间、配套服务等。</w:t>
            </w:r>
          </w:p>
          <w:p>
            <w:pPr>
              <w:pStyle w:val="null3"/>
            </w:pPr>
            <w:r>
              <w:rPr>
                <w:rFonts w:ascii="仿宋_GB2312" w:hAnsi="仿宋_GB2312" w:cs="仿宋_GB2312" w:eastAsia="仿宋_GB2312"/>
              </w:rPr>
              <w:t>6.供应商要接受监督检查，对采购人提出的有关意见及时进行整改。</w:t>
            </w:r>
          </w:p>
          <w:p>
            <w:pPr>
              <w:pStyle w:val="null3"/>
            </w:pPr>
            <w:r>
              <w:rPr>
                <w:rFonts w:ascii="仿宋_GB2312" w:hAnsi="仿宋_GB2312" w:cs="仿宋_GB2312" w:eastAsia="仿宋_GB2312"/>
              </w:rPr>
              <w:t>7.供应商要做好培训活动的安全工作，对特殊事件及食品、消防、交通、安全等突发状况，制定相应的保障措施和应急预案，确保人身、财产安全。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自合同签订之日起180日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成交单位提供的培训地点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由采购人和成交人共同对项目整体进行验收。其内容包括确认服务的成果、数量以及服务质量是否达到采购人或行业标准： (1)所验服务的质量通过验收达不到磋商文件要求和响应文件承诺的，或在使用中发现采购人不能容忍的缺陷等，将视为验收不合格，成交人应无条件免费修改，直至满足采购人要求。 (2)若发现成交人有弄虚作假的,在投标阶段故意或随意夸大服务内容、服务质量，成交人应无条件退款，并赔偿采购人相应的损失，赔偿金额双方协商确定。 (3)验收标准：按磋商文件、响应文件及澄清函等技术指标进行验收。各项指标均应符合验收标准及要求。 (4)验收合格后，填写验收单，双方签字生效。 (5)验收依据：合同文本；响应文件及澄清函、磋商文件；国家和行业制定的相应的标准和规范；验收清单。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签订合同</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组织验收</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因履行本合同引起的或与本合同有关的争议，甲、乙双方应首先通过友好协商解决;如果协商不能解决争议，甲乙双方同意采取下列两种方式的第( 1 )种方式解决争议: (1)向甲方所在地有管辖权的人民法院提起诉讼，适用中华人民共和国法律; (2)向西安市仲裁委员会按其仲裁规则申请仲裁。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人在领取成交通知书时提供一正三副纸质竞争性磋商响应文件，纸质响应文件采用书籍（胶装）方式装订成册，须编制目录、页码和书脊，在书脊处标注项目名称和项目编号，与电子响应文件一致的签字、盖章的完整版本。2.采购人应按照竞争性磋商文件和成交人响应文件，在成交通知书发出之日起25日内签订合同。3.本项目采购标的对应的中小企业划分标准所属行业为其他未列明行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供应商需在项目电子化交易系统中按要求上传相应证明文件并进行电子签章。此项与供应商特殊资格要求“财务状况报告”为同一审查项。</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供应商需在项目电子化交易系统中按要求填写《投标函》完成承诺并进行电子签章。此项审查内容与特殊资格条件中的“控股关系查询”为同一审查内容。</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提供供应商合法注册的法人或其他组织的营业执照/事业单位法人证书/非企业专业服务机构执业许可证/民办非企业单位登记证书；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开户银行出具的资信证明或政府采购信用担保机构出具的担保函；注：财会〔2023〕15号文《财政部 国务院国资委 金融监管总局关于加强审计报告查验工作的通知》会计师事务所应当主动向被审计单位提供附验证码的审计报告。即2023年及以后的审计报告需附验证码；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社会保障资金缴纳证明：提供截止至开标时间前一年内任意一个月的社保缴纳凭据或社保机构开具的社会保险参保缴纳情况证明（依法不需要缴纳社会保障资金的供应商应提供相关证明）；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在磋商截止日当天在“信用中国”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根据财库〔2019〕38号文规定，此项在磋商截止日当天在“国家企业信用信息公示系统”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1.根据《财政部关于推动解决政府采购异常低价问题的通知》（财库〔2026〕2 号）相关规定，政府采购评审中出现下列情形之一的，评审委员会应当启动异常低价投标（响应）审查程序：1.1投标（响应）报价低于全部通过符合性审查供应商投标（响应）报价平均值50%的，即投标（响应）报价&lt;全部通过符合性审查供应商投标（响应）报价平均值×50%；1.2投标（响应）报价低于通过符合性审查的次低报价供应商投标（响应）报价50%的，即投标（响应）报价&lt;通过符合性审查的次低报价供应商投标（响应）报价×50%；1.3投标（响应）报价低于采购项目最高限价45%的，即投标（响应）报价&lt;采购项目最高限价×45%；1.4评审委员会基于专业判断，认为供应商报价过低，有可能影响产品质量或者不能诚信履约的其他情形。 2.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3.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供应商名称应与获取竞争性磋商文件的单位名称一致。</w:t>
            </w:r>
          </w:p>
        </w:tc>
        <w:tc>
          <w:tcPr>
            <w:tcW w:type="dxa" w:w="1661"/>
          </w:tcPr>
          <w:p>
            <w:pPr>
              <w:pStyle w:val="null3"/>
            </w:pPr>
            <w:r>
              <w:rPr>
                <w:rFonts w:ascii="仿宋_GB2312" w:hAnsi="仿宋_GB2312" w:cs="仿宋_GB2312" w:eastAsia="仿宋_GB2312"/>
              </w:rPr>
              <w:t>响应文件封面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响应文件格式编制</w:t>
            </w:r>
          </w:p>
        </w:tc>
        <w:tc>
          <w:tcPr>
            <w:tcW w:type="dxa" w:w="3322"/>
          </w:tcPr>
          <w:p>
            <w:pPr>
              <w:pStyle w:val="null3"/>
            </w:pPr>
            <w:r>
              <w:rPr>
                <w:rFonts w:ascii="仿宋_GB2312" w:hAnsi="仿宋_GB2312" w:cs="仿宋_GB2312" w:eastAsia="仿宋_GB2312"/>
              </w:rPr>
              <w:t>除明确允许供应商可以自行编写的外，竞争性磋商响应文件应按照竞争性磋商文件给定的格式编制。</w:t>
            </w:r>
          </w:p>
        </w:tc>
        <w:tc>
          <w:tcPr>
            <w:tcW w:type="dxa" w:w="1661"/>
          </w:tcPr>
          <w:p>
            <w:pPr>
              <w:pStyle w:val="null3"/>
            </w:pPr>
            <w:r>
              <w:rPr>
                <w:rFonts w:ascii="仿宋_GB2312" w:hAnsi="仿宋_GB2312" w:cs="仿宋_GB2312" w:eastAsia="仿宋_GB2312"/>
              </w:rPr>
              <w:t>服务条款响应偏离表 资格证明文件 法定代表人授权委托书 供应商参与政府采购活动的承诺函 分项报价表 承诺书 标的清单 拒绝政府采购领域商业贿赂承诺书 响应函 商务条款响应偏离表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竞争性磋商响应文件应按照竞争性磋商文件的要求盖章签字。</w:t>
            </w:r>
          </w:p>
        </w:tc>
        <w:tc>
          <w:tcPr>
            <w:tcW w:type="dxa" w:w="1661"/>
          </w:tcPr>
          <w:p>
            <w:pPr>
              <w:pStyle w:val="null3"/>
            </w:pPr>
            <w:r>
              <w:rPr>
                <w:rFonts w:ascii="仿宋_GB2312" w:hAnsi="仿宋_GB2312" w:cs="仿宋_GB2312" w:eastAsia="仿宋_GB2312"/>
              </w:rPr>
              <w:t>响应文件封面 服务条款响应偏离表 资格证明文件 法定代表人授权委托书 分项报价表 供应商参与政府采购活动的承诺函 承诺书 标的清单 拒绝政府采购领域商业贿赂承诺书 响应函 商务条款响应偏离表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磋商报价未超过最高限价。</w:t>
            </w:r>
          </w:p>
        </w:tc>
        <w:tc>
          <w:tcPr>
            <w:tcW w:type="dxa" w:w="1661"/>
          </w:tcPr>
          <w:p>
            <w:pPr>
              <w:pStyle w:val="null3"/>
            </w:pPr>
            <w:r>
              <w:rPr>
                <w:rFonts w:ascii="仿宋_GB2312" w:hAnsi="仿宋_GB2312" w:cs="仿宋_GB2312" w:eastAsia="仿宋_GB2312"/>
              </w:rPr>
              <w:t>分项报价表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磋商有效期应符合竞争性磋商文件的要求。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对竞争性磋商文件商务要求是否作出明确且实质性响应。</w:t>
            </w:r>
          </w:p>
        </w:tc>
        <w:tc>
          <w:tcPr>
            <w:tcW w:type="dxa" w:w="1661"/>
          </w:tcPr>
          <w:p>
            <w:pPr>
              <w:pStyle w:val="null3"/>
            </w:pPr>
            <w:r>
              <w:rPr>
                <w:rFonts w:ascii="仿宋_GB2312" w:hAnsi="仿宋_GB2312" w:cs="仿宋_GB2312" w:eastAsia="仿宋_GB2312"/>
              </w:rPr>
              <w:t>商务条款响应偏离表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服务内容和要求响应</w:t>
            </w:r>
          </w:p>
        </w:tc>
        <w:tc>
          <w:tcPr>
            <w:tcW w:type="dxa" w:w="3322"/>
          </w:tcPr>
          <w:p>
            <w:pPr>
              <w:pStyle w:val="null3"/>
            </w:pPr>
            <w:r>
              <w:rPr>
                <w:rFonts w:ascii="仿宋_GB2312" w:hAnsi="仿宋_GB2312" w:cs="仿宋_GB2312" w:eastAsia="仿宋_GB2312"/>
              </w:rPr>
              <w:t>对竞争性磋商文件服务内容和要求是否作出明确响应。</w:t>
            </w:r>
          </w:p>
        </w:tc>
        <w:tc>
          <w:tcPr>
            <w:tcW w:type="dxa" w:w="1661"/>
          </w:tcPr>
          <w:p>
            <w:pPr>
              <w:pStyle w:val="null3"/>
            </w:pPr>
            <w:r>
              <w:rPr>
                <w:rFonts w:ascii="仿宋_GB2312" w:hAnsi="仿宋_GB2312" w:cs="仿宋_GB2312" w:eastAsia="仿宋_GB2312"/>
              </w:rPr>
              <w:t>服务条款响应偏离表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采购人不能接受的附加条件</w:t>
            </w:r>
          </w:p>
        </w:tc>
        <w:tc>
          <w:tcPr>
            <w:tcW w:type="dxa" w:w="3322"/>
          </w:tcPr>
          <w:p>
            <w:pPr>
              <w:pStyle w:val="null3"/>
            </w:pPr>
            <w:r>
              <w:rPr>
                <w:rFonts w:ascii="仿宋_GB2312" w:hAnsi="仿宋_GB2312" w:cs="仿宋_GB2312" w:eastAsia="仿宋_GB2312"/>
              </w:rPr>
              <w:t>竞争性磋商响应文件未含有采购人不能接受的附加条件。</w:t>
            </w:r>
          </w:p>
        </w:tc>
        <w:tc>
          <w:tcPr>
            <w:tcW w:type="dxa" w:w="1661"/>
          </w:tcPr>
          <w:p>
            <w:pPr>
              <w:pStyle w:val="null3"/>
            </w:pPr>
            <w:r>
              <w:rPr>
                <w:rFonts w:ascii="仿宋_GB2312" w:hAnsi="仿宋_GB2312" w:cs="仿宋_GB2312" w:eastAsia="仿宋_GB2312"/>
              </w:rPr>
              <w:t>供应商认为有必要说明的事宜 服务方案</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其他无效响应情形</w:t>
            </w:r>
          </w:p>
        </w:tc>
        <w:tc>
          <w:tcPr>
            <w:tcW w:type="dxa" w:w="3322"/>
          </w:tcPr>
          <w:p>
            <w:pPr>
              <w:pStyle w:val="null3"/>
            </w:pPr>
            <w:r>
              <w:rPr>
                <w:rFonts w:ascii="仿宋_GB2312" w:hAnsi="仿宋_GB2312" w:cs="仿宋_GB2312" w:eastAsia="仿宋_GB2312"/>
              </w:rPr>
              <w:t>无法律、法规和磋商文件规定的其他无效响应情形。</w:t>
            </w:r>
          </w:p>
        </w:tc>
        <w:tc>
          <w:tcPr>
            <w:tcW w:type="dxa" w:w="1661"/>
          </w:tcPr>
          <w:p>
            <w:pPr>
              <w:pStyle w:val="null3"/>
            </w:pPr>
            <w:r>
              <w:rPr>
                <w:rFonts w:ascii="仿宋_GB2312" w:hAnsi="仿宋_GB2312" w:cs="仿宋_GB2312" w:eastAsia="仿宋_GB2312"/>
              </w:rPr>
              <w:t>供应商认为有必要说明的事宜 服务方案</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评审得分相同的，按照最后报价由低到高的顺序推荐。评审得分且最后报价相同的，按照培训大纲方案优劣顺序推荐。评审得分且最后报价且培训大纲得分均相同的，成交候选供应商并列。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培训大纲</w:t>
            </w:r>
          </w:p>
        </w:tc>
        <w:tc>
          <w:tcPr>
            <w:tcW w:type="dxa" w:w="2492"/>
          </w:tcPr>
          <w:p>
            <w:pPr>
              <w:pStyle w:val="null3"/>
            </w:pPr>
            <w:r>
              <w:rPr>
                <w:rFonts w:ascii="仿宋_GB2312" w:hAnsi="仿宋_GB2312" w:cs="仿宋_GB2312" w:eastAsia="仿宋_GB2312"/>
              </w:rPr>
              <w:t>针对本项目培训的实际需求，制作培训大纲方案，包括： ①培训需求分析； ②培训课程设置（要求课程设计新颖，互动性强，能够激发学习者兴趣）； ③培训形式(要求形式多样，不限于情景模拟或桌面推演等互动教学形式）； ④培训流程； ⑤培训实施计划； ⑥学员考勤方案； ⑦考核评估； ⑧培训的重点及难点。 评审标准：方案各部分内容全面详细、阐述条理清晰详尽、符合本项目采购需求得24分；评审内容每缺一项扣3分，扣完为止；评审内容有一项内容缺陷扣1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针对本项目培训服务提供服务保障措施，包括： ①接待方案； ②质量保障措施（需包含车辆、人员、医疗应急等保障措施）； ③后勤保障措施（指学员食宿、交通、安全、卫生等服务保障）。 评审标准：方案各部分内容全面详细、阐述条理清晰详尽、符合本项目采购需求得6分；评审内容每缺一项扣2分，扣完为止；评审内容有一项内容缺陷扣1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应急管理措施</w:t>
            </w:r>
          </w:p>
        </w:tc>
        <w:tc>
          <w:tcPr>
            <w:tcW w:type="dxa" w:w="2492"/>
          </w:tcPr>
          <w:p>
            <w:pPr>
              <w:pStyle w:val="null3"/>
            </w:pPr>
            <w:r>
              <w:rPr>
                <w:rFonts w:ascii="仿宋_GB2312" w:hAnsi="仿宋_GB2312" w:cs="仿宋_GB2312" w:eastAsia="仿宋_GB2312"/>
              </w:rPr>
              <w:t>针对本项目培训服务提供应急管理方案，包括： ①突发应急预案； ②详细的应急管理制度。 评审标准：方案各部分内容全面详细、阐述条理清晰详尽、符合本项目采购需求得6分；评审内容每缺一项扣3分，扣完为止；评审内容有一项内容缺陷扣1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针对本项目培训服务提出合理化建议，包括： ①如何保证项目顺利实施； ②如何提升培训质量。 评审标准：方案各部分内容全面详细、阐述条理清晰详尽、符合本项目采购需求得4分；评审内容每缺一项扣2分，扣完为止；评审内容有一项内容缺陷扣1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住宿服务方案</w:t>
            </w:r>
          </w:p>
        </w:tc>
        <w:tc>
          <w:tcPr>
            <w:tcW w:type="dxa" w:w="2492"/>
          </w:tcPr>
          <w:p>
            <w:pPr>
              <w:pStyle w:val="null3"/>
            </w:pPr>
            <w:r>
              <w:rPr>
                <w:rFonts w:ascii="仿宋_GB2312" w:hAnsi="仿宋_GB2312" w:cs="仿宋_GB2312" w:eastAsia="仿宋_GB2312"/>
              </w:rPr>
              <w:t>针对本项目提供培训学员住宿服务方案，包括： ①住宿服务内容及服务标准（不限于住宿环境及取暖及降温设施、网络设备配备等方面）； ②封闭住宿管理方案； ③住宿卫生保障服务； ④住宿场地消防设备及消防措施。 评审标准：方案各部分内容全面详细、阐述条理清晰详尽、符合本项目采购需求得8分；评审内容每缺一项扣2分，扣完为止；评审内容有一项内容缺陷扣1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教学场地</w:t>
            </w:r>
          </w:p>
        </w:tc>
        <w:tc>
          <w:tcPr>
            <w:tcW w:type="dxa" w:w="2492"/>
          </w:tcPr>
          <w:p>
            <w:pPr>
              <w:pStyle w:val="null3"/>
            </w:pPr>
            <w:r>
              <w:rPr>
                <w:rFonts w:ascii="仿宋_GB2312" w:hAnsi="仿宋_GB2312" w:cs="仿宋_GB2312" w:eastAsia="仿宋_GB2312"/>
              </w:rPr>
              <w:t>针对本项目提供满足项目需求的教学场地，包括： ①教学场地面积； ②多媒体设施； ③培训设备； ④教学场地消防设备及消防措施。 评审标准：方案各部分内容全面详细、阐述条理清晰详尽、符合本项目采购需求得8分；评审内容每缺一项扣2分，扣完为止；评审内容有一项内容缺陷扣1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餐饮服务方案</w:t>
            </w:r>
          </w:p>
        </w:tc>
        <w:tc>
          <w:tcPr>
            <w:tcW w:type="dxa" w:w="2492"/>
          </w:tcPr>
          <w:p>
            <w:pPr>
              <w:pStyle w:val="null3"/>
            </w:pPr>
            <w:r>
              <w:rPr>
                <w:rFonts w:ascii="仿宋_GB2312" w:hAnsi="仿宋_GB2312" w:cs="仿宋_GB2312" w:eastAsia="仿宋_GB2312"/>
              </w:rPr>
              <w:t>针对本项目提供培训学员餐饮方案，包括： ①餐饮的标准、就餐的方式、食谱； ②餐饮安全管理制度； ③餐厅环境卫生管理制度； ④就餐的服务质量保障； ⑤餐饮从业人员配备（提供健康证）。 评审标准：方案各部分内容全面详细、阐述条理清晰详尽、符合本项目采购需求得10分；评审内容每缺一项扣2分，扣完为止；评审内容有一项内容缺陷扣1分（缺陷是指：内容描述过于简单、条理不清晰、与项目内容不匹配、凭空编造、出现常识性错误、不可能实现的夸大情形、存在不适用项目实际情况的情形等）。 注：供应商磋商响应文件中未提供餐厅食品经营许可证（或相关部门备案）复印件，或未出具符合要求的餐厅卫生承诺书，本餐饮方案评审项一次性扣 5 分，扣完本项 10 分为止。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服务人员配备</w:t>
            </w:r>
          </w:p>
        </w:tc>
        <w:tc>
          <w:tcPr>
            <w:tcW w:type="dxa" w:w="2492"/>
          </w:tcPr>
          <w:p>
            <w:pPr>
              <w:pStyle w:val="null3"/>
            </w:pPr>
            <w:r>
              <w:rPr>
                <w:rFonts w:ascii="仿宋_GB2312" w:hAnsi="仿宋_GB2312" w:cs="仿宋_GB2312" w:eastAsia="仿宋_GB2312"/>
              </w:rPr>
              <w:t>针对本项目提供组织机构管理、服务人员配备，包括： ①项目管理组织机构； ②人员分工及岗位职责； ③团队稳定性。 评审标准：方案各部分内容全面详细、阐述条理清晰详尽、符合本项目采购需求得9分；评审内容每缺一项扣3分，扣完为止；评审内容有一项内容缺陷扣1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师资力量</w:t>
            </w:r>
          </w:p>
        </w:tc>
        <w:tc>
          <w:tcPr>
            <w:tcW w:type="dxa" w:w="2492"/>
          </w:tcPr>
          <w:p>
            <w:pPr>
              <w:pStyle w:val="null3"/>
            </w:pPr>
            <w:r>
              <w:rPr>
                <w:rFonts w:ascii="仿宋_GB2312" w:hAnsi="仿宋_GB2312" w:cs="仿宋_GB2312" w:eastAsia="仿宋_GB2312"/>
              </w:rPr>
              <w:t>根据本项目师资力量情况评审： 培训师资配备（要求每期配备专业人员）； 评审标准：一个正高级技术职称加1分，最高5分；一个副高级职称加0.5分，最高3分。 注：每个培训师必须附职称证书复印件、聘书（协议书）复印件并加盖供应商公章，不提供不得分。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供应商根据自身情况，结合本项目服务内容所能做出的其他增值服务承诺。服务承诺可行性强，针对性强的得2分；服务承诺粗略空泛，与项目不匹配的得1分；未提供不得分。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2023年1月至今承担的类似项目案例情况，有一个有效案例得1分，最高得5分。供应商提供项目的合同或协议复印件作为证明材料。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磋商价格最低的磋商报价为评标基准价，其价格分为满分。其他供应商的价格分统一按照下列公式计算： 磋商报价得分=(磋商基准价／磋商报价)×价格权值（即10%）×100（因落实政府采购政策进行价格调整的，以调整后的价格计算评标基准价和磋商报价）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详见附件：服务条款响应偏离表</w:t>
      </w:r>
    </w:p>
    <w:p>
      <w:pPr>
        <w:pStyle w:val="null3"/>
        <w:ind w:firstLine="960"/>
      </w:pPr>
      <w:r>
        <w:rPr>
          <w:rFonts w:ascii="仿宋_GB2312" w:hAnsi="仿宋_GB2312" w:cs="仿宋_GB2312" w:eastAsia="仿宋_GB2312"/>
        </w:rPr>
        <w:t>详见附件：商务条款响应偏离表</w:t>
      </w:r>
    </w:p>
    <w:p>
      <w:pPr>
        <w:pStyle w:val="null3"/>
        <w:ind w:firstLine="960"/>
      </w:pPr>
      <w:r>
        <w:rPr>
          <w:rFonts w:ascii="仿宋_GB2312" w:hAnsi="仿宋_GB2312" w:cs="仿宋_GB2312" w:eastAsia="仿宋_GB2312"/>
        </w:rPr>
        <w:t>详见附件：法定代表人授权委托书</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详见附件：供应商参与政府采购活动的承诺函</w:t>
      </w:r>
    </w:p>
    <w:p>
      <w:pPr>
        <w:pStyle w:val="null3"/>
        <w:ind w:firstLine="960"/>
      </w:pPr>
      <w:r>
        <w:rPr>
          <w:rFonts w:ascii="仿宋_GB2312" w:hAnsi="仿宋_GB2312" w:cs="仿宋_GB2312" w:eastAsia="仿宋_GB2312"/>
        </w:rPr>
        <w:t>详见附件：拒绝政府采购领域商业贿赂承诺书</w:t>
      </w:r>
    </w:p>
    <w:p>
      <w:pPr>
        <w:pStyle w:val="null3"/>
        <w:ind w:firstLine="960"/>
      </w:pPr>
      <w:r>
        <w:rPr>
          <w:rFonts w:ascii="仿宋_GB2312" w:hAnsi="仿宋_GB2312" w:cs="仿宋_GB2312" w:eastAsia="仿宋_GB2312"/>
        </w:rPr>
        <w:t>详见附件：供应商认为有必要说明的事宜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