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41BC6">
      <w:pPr>
        <w:spacing w:line="520" w:lineRule="exact"/>
        <w:jc w:val="center"/>
        <w:rPr>
          <w:rFonts w:hint="eastAsia" w:ascii="仿宋" w:hAnsi="仿宋" w:eastAsia="仿宋" w:cs="仿宋"/>
          <w:sz w:val="24"/>
          <w:highlight w:val="none"/>
        </w:rPr>
      </w:pPr>
      <w:r>
        <w:rPr>
          <w:rFonts w:hint="eastAsia" w:ascii="仿宋" w:hAnsi="仿宋" w:eastAsia="仿宋" w:cs="仿宋"/>
          <w:b/>
          <w:sz w:val="36"/>
          <w:highlight w:val="none"/>
        </w:rPr>
        <w:t>拟签订采购合同文本</w:t>
      </w:r>
    </w:p>
    <w:p w14:paraId="298725E1">
      <w:pPr>
        <w:spacing w:line="360" w:lineRule="auto"/>
        <w:jc w:val="center"/>
        <w:rPr>
          <w:rFonts w:hint="eastAsia" w:ascii="仿宋" w:hAnsi="仿宋" w:eastAsia="仿宋" w:cs="仿宋"/>
          <w:b/>
          <w:color w:val="auto"/>
          <w:sz w:val="24"/>
          <w:szCs w:val="24"/>
          <w:highlight w:val="none"/>
        </w:rPr>
      </w:pPr>
    </w:p>
    <w:p w14:paraId="33C2A188">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（注：本合同仅为合同的参考文本，合同签订双方可根据项目的具体要求进行修订。）</w:t>
      </w:r>
    </w:p>
    <w:p w14:paraId="44C474CE">
      <w:pPr>
        <w:spacing w:line="240" w:lineRule="auto"/>
        <w:ind w:left="0"/>
        <w:jc w:val="center"/>
        <w:rPr>
          <w:rFonts w:hint="eastAsia" w:ascii="仿宋" w:hAnsi="仿宋" w:eastAsia="仿宋" w:cs="仿宋"/>
          <w:b/>
          <w:bCs/>
          <w:spacing w:val="11"/>
          <w:sz w:val="30"/>
          <w:szCs w:val="30"/>
          <w:highlight w:val="none"/>
          <w:u w:val="none" w:color="auto"/>
        </w:rPr>
      </w:pPr>
    </w:p>
    <w:p w14:paraId="5C3B9B96">
      <w:pPr>
        <w:pStyle w:val="2"/>
        <w:spacing w:line="309" w:lineRule="auto"/>
        <w:rPr>
          <w:rFonts w:hint="eastAsia" w:ascii="仿宋" w:hAnsi="仿宋" w:eastAsia="仿宋" w:cs="仿宋"/>
          <w:highlight w:val="none"/>
        </w:rPr>
      </w:pPr>
    </w:p>
    <w:p w14:paraId="598D418A">
      <w:pPr>
        <w:pStyle w:val="2"/>
        <w:spacing w:line="263" w:lineRule="auto"/>
        <w:rPr>
          <w:rFonts w:hint="eastAsia" w:ascii="仿宋" w:hAnsi="仿宋" w:eastAsia="仿宋" w:cs="仿宋"/>
          <w:highlight w:val="none"/>
        </w:rPr>
      </w:pPr>
    </w:p>
    <w:p w14:paraId="288ACFE8">
      <w:pPr>
        <w:pStyle w:val="2"/>
        <w:spacing w:line="263" w:lineRule="auto"/>
        <w:rPr>
          <w:rFonts w:hint="eastAsia" w:ascii="仿宋" w:hAnsi="仿宋" w:eastAsia="仿宋" w:cs="仿宋"/>
          <w:highlight w:val="none"/>
        </w:rPr>
      </w:pPr>
    </w:p>
    <w:p w14:paraId="68B5C9F6">
      <w:pPr>
        <w:pStyle w:val="2"/>
        <w:spacing w:line="264" w:lineRule="auto"/>
        <w:rPr>
          <w:rFonts w:hint="eastAsia" w:ascii="仿宋" w:hAnsi="仿宋" w:eastAsia="仿宋" w:cs="仿宋"/>
          <w:highlight w:val="none"/>
        </w:rPr>
      </w:pPr>
    </w:p>
    <w:p w14:paraId="390FFAC4">
      <w:pPr>
        <w:pStyle w:val="2"/>
        <w:spacing w:line="243" w:lineRule="auto"/>
        <w:jc w:val="both"/>
        <w:rPr>
          <w:rFonts w:hint="eastAsia" w:ascii="仿宋" w:hAnsi="仿宋" w:eastAsia="仿宋" w:cs="仿宋"/>
          <w:highlight w:val="none"/>
        </w:rPr>
      </w:pPr>
    </w:p>
    <w:p w14:paraId="4FEE16FC">
      <w:pPr>
        <w:pStyle w:val="2"/>
        <w:spacing w:line="243" w:lineRule="auto"/>
        <w:jc w:val="center"/>
        <w:rPr>
          <w:rFonts w:hint="eastAsia" w:ascii="仿宋" w:hAnsi="仿宋" w:eastAsia="仿宋" w:cs="仿宋"/>
          <w:b/>
          <w:bCs/>
          <w:sz w:val="44"/>
          <w:szCs w:val="40"/>
          <w:highlight w:val="none"/>
          <w:lang w:val="en-US" w:eastAsia="zh-CN"/>
        </w:rPr>
      </w:pPr>
    </w:p>
    <w:p w14:paraId="5782F1BB">
      <w:pPr>
        <w:pStyle w:val="2"/>
        <w:spacing w:line="243" w:lineRule="auto"/>
        <w:jc w:val="center"/>
        <w:rPr>
          <w:rFonts w:hint="eastAsia" w:ascii="仿宋" w:hAnsi="仿宋" w:eastAsia="仿宋" w:cs="仿宋"/>
          <w:b/>
          <w:bCs/>
          <w:sz w:val="44"/>
          <w:szCs w:val="40"/>
          <w:highlight w:val="none"/>
          <w:lang w:val="en-US" w:eastAsia="zh-CN"/>
        </w:rPr>
      </w:pPr>
    </w:p>
    <w:p w14:paraId="13C6183B">
      <w:pPr>
        <w:pStyle w:val="2"/>
        <w:spacing w:line="243" w:lineRule="auto"/>
        <w:jc w:val="center"/>
        <w:rPr>
          <w:rFonts w:hint="default" w:ascii="仿宋" w:hAnsi="仿宋" w:eastAsia="仿宋" w:cs="仿宋"/>
          <w:b/>
          <w:bCs/>
          <w:sz w:val="44"/>
          <w:szCs w:val="44"/>
          <w:highlight w:val="none"/>
          <w:lang w:val="en-US"/>
        </w:rPr>
      </w:pPr>
      <w:r>
        <w:rPr>
          <w:rFonts w:hint="eastAsia" w:ascii="仿宋" w:hAnsi="仿宋" w:eastAsia="仿宋" w:cs="仿宋"/>
          <w:b/>
          <w:bCs/>
          <w:sz w:val="44"/>
          <w:szCs w:val="44"/>
          <w:highlight w:val="none"/>
          <w:lang w:val="en-US" w:eastAsia="zh-CN"/>
        </w:rPr>
        <w:t>2026年全市中小企业主要负责人和安全管理人员培训项目（三次）</w:t>
      </w:r>
    </w:p>
    <w:p w14:paraId="5DE0D9B1">
      <w:pPr>
        <w:pStyle w:val="2"/>
        <w:spacing w:line="243" w:lineRule="auto"/>
        <w:rPr>
          <w:rFonts w:hint="eastAsia" w:ascii="仿宋" w:hAnsi="仿宋" w:eastAsia="仿宋" w:cs="仿宋"/>
          <w:highlight w:val="none"/>
        </w:rPr>
      </w:pPr>
    </w:p>
    <w:p w14:paraId="38756B02">
      <w:pPr>
        <w:pStyle w:val="2"/>
        <w:spacing w:line="243" w:lineRule="auto"/>
        <w:rPr>
          <w:rFonts w:hint="eastAsia" w:ascii="仿宋" w:hAnsi="仿宋" w:eastAsia="仿宋" w:cs="仿宋"/>
          <w:highlight w:val="none"/>
        </w:rPr>
      </w:pPr>
    </w:p>
    <w:p w14:paraId="398CB83C">
      <w:pPr>
        <w:pStyle w:val="2"/>
        <w:spacing w:line="243" w:lineRule="auto"/>
        <w:rPr>
          <w:rFonts w:hint="eastAsia" w:ascii="仿宋" w:hAnsi="仿宋" w:eastAsia="仿宋" w:cs="仿宋"/>
          <w:highlight w:val="none"/>
        </w:rPr>
      </w:pPr>
    </w:p>
    <w:p w14:paraId="33DCE191">
      <w:pPr>
        <w:pStyle w:val="2"/>
        <w:spacing w:line="243" w:lineRule="auto"/>
        <w:jc w:val="center"/>
        <w:rPr>
          <w:rFonts w:hint="eastAsia" w:ascii="仿宋" w:hAnsi="仿宋" w:eastAsia="仿宋" w:cs="仿宋"/>
          <w:b/>
          <w:bCs/>
          <w:sz w:val="36"/>
          <w:szCs w:val="36"/>
          <w:highlight w:val="none"/>
          <w:lang w:val="en-US" w:eastAsia="zh-CN"/>
        </w:rPr>
      </w:pPr>
      <w:r>
        <w:rPr>
          <w:rFonts w:hint="eastAsia" w:ascii="仿宋" w:hAnsi="仿宋" w:eastAsia="仿宋" w:cs="仿宋"/>
          <w:b/>
          <w:bCs/>
          <w:sz w:val="36"/>
          <w:szCs w:val="36"/>
          <w:highlight w:val="none"/>
          <w:lang w:val="en-US" w:eastAsia="zh-CN"/>
        </w:rPr>
        <w:t>采购合同</w:t>
      </w:r>
    </w:p>
    <w:p w14:paraId="76768472">
      <w:pPr>
        <w:pStyle w:val="2"/>
        <w:spacing w:line="243" w:lineRule="auto"/>
        <w:rPr>
          <w:rFonts w:hint="eastAsia" w:ascii="仿宋" w:hAnsi="仿宋" w:eastAsia="仿宋" w:cs="仿宋"/>
          <w:highlight w:val="none"/>
        </w:rPr>
      </w:pPr>
    </w:p>
    <w:p w14:paraId="0EACE39C">
      <w:pPr>
        <w:pStyle w:val="2"/>
        <w:spacing w:line="243" w:lineRule="auto"/>
        <w:rPr>
          <w:rFonts w:hint="eastAsia" w:ascii="仿宋" w:hAnsi="仿宋" w:eastAsia="仿宋" w:cs="仿宋"/>
          <w:highlight w:val="none"/>
        </w:rPr>
      </w:pPr>
    </w:p>
    <w:p w14:paraId="304F570C">
      <w:pPr>
        <w:pStyle w:val="2"/>
        <w:spacing w:line="243" w:lineRule="auto"/>
        <w:rPr>
          <w:rFonts w:hint="eastAsia" w:ascii="仿宋" w:hAnsi="仿宋" w:eastAsia="仿宋" w:cs="仿宋"/>
          <w:highlight w:val="none"/>
        </w:rPr>
      </w:pPr>
    </w:p>
    <w:p w14:paraId="78F6E7DE">
      <w:pPr>
        <w:pStyle w:val="2"/>
        <w:spacing w:line="243" w:lineRule="auto"/>
        <w:rPr>
          <w:rFonts w:hint="eastAsia" w:ascii="仿宋" w:hAnsi="仿宋" w:eastAsia="仿宋" w:cs="仿宋"/>
          <w:highlight w:val="none"/>
        </w:rPr>
      </w:pPr>
    </w:p>
    <w:p w14:paraId="08566C69">
      <w:pPr>
        <w:pStyle w:val="2"/>
        <w:spacing w:line="244" w:lineRule="auto"/>
        <w:rPr>
          <w:rFonts w:hint="eastAsia" w:ascii="仿宋" w:hAnsi="仿宋" w:eastAsia="仿宋" w:cs="仿宋"/>
          <w:highlight w:val="none"/>
        </w:rPr>
      </w:pPr>
    </w:p>
    <w:p w14:paraId="1DF81B10">
      <w:pPr>
        <w:pStyle w:val="2"/>
        <w:spacing w:line="244" w:lineRule="auto"/>
        <w:rPr>
          <w:rFonts w:hint="eastAsia" w:ascii="仿宋" w:hAnsi="仿宋" w:eastAsia="仿宋" w:cs="仿宋"/>
          <w:highlight w:val="none"/>
        </w:rPr>
      </w:pPr>
    </w:p>
    <w:p w14:paraId="1DAFEFED">
      <w:pPr>
        <w:pStyle w:val="2"/>
        <w:spacing w:line="244" w:lineRule="auto"/>
        <w:rPr>
          <w:rFonts w:hint="eastAsia" w:ascii="仿宋" w:hAnsi="仿宋" w:eastAsia="仿宋" w:cs="仿宋"/>
          <w:highlight w:val="none"/>
        </w:rPr>
      </w:pPr>
    </w:p>
    <w:p w14:paraId="5B3922FF">
      <w:pPr>
        <w:pStyle w:val="2"/>
        <w:spacing w:line="244" w:lineRule="auto"/>
        <w:rPr>
          <w:rFonts w:hint="eastAsia" w:ascii="仿宋" w:hAnsi="仿宋" w:eastAsia="仿宋" w:cs="仿宋"/>
          <w:highlight w:val="none"/>
        </w:rPr>
      </w:pPr>
    </w:p>
    <w:p w14:paraId="3FE89652">
      <w:pPr>
        <w:pStyle w:val="2"/>
        <w:spacing w:line="244" w:lineRule="auto"/>
        <w:rPr>
          <w:rFonts w:hint="eastAsia" w:ascii="仿宋" w:hAnsi="仿宋" w:eastAsia="仿宋" w:cs="仿宋"/>
          <w:sz w:val="32"/>
          <w:szCs w:val="32"/>
          <w:highlight w:val="none"/>
        </w:rPr>
      </w:pPr>
    </w:p>
    <w:p w14:paraId="0FAC7282">
      <w:pPr>
        <w:keepNext w:val="0"/>
        <w:keepLines w:val="0"/>
        <w:pageBreakBefore w:val="0"/>
        <w:widowControl/>
        <w:kinsoku w:val="0"/>
        <w:wordWrap/>
        <w:overflowPunct/>
        <w:topLinePunct w:val="0"/>
        <w:autoSpaceDE w:val="0"/>
        <w:autoSpaceDN w:val="0"/>
        <w:bidi w:val="0"/>
        <w:adjustRightInd w:val="0"/>
        <w:snapToGrid w:val="0"/>
        <w:spacing w:before="81" w:line="360" w:lineRule="auto"/>
        <w:ind w:firstLine="2040" w:firstLineChars="500"/>
        <w:jc w:val="both"/>
        <w:textAlignment w:val="baseline"/>
        <w:rPr>
          <w:rFonts w:hint="eastAsia" w:ascii="仿宋" w:hAnsi="仿宋" w:eastAsia="仿宋" w:cs="仿宋"/>
          <w:sz w:val="32"/>
          <w:szCs w:val="32"/>
          <w:highlight w:val="none"/>
          <w:u w:val="single"/>
          <w:lang w:val="en-US" w:eastAsia="zh-CN"/>
        </w:rPr>
      </w:pPr>
      <w:r>
        <w:rPr>
          <w:rFonts w:hint="eastAsia" w:ascii="仿宋" w:hAnsi="仿宋" w:eastAsia="仿宋" w:cs="仿宋"/>
          <w:spacing w:val="44"/>
          <w:sz w:val="32"/>
          <w:szCs w:val="32"/>
          <w:highlight w:val="none"/>
          <w:lang w:val="en-US" w:eastAsia="zh-CN"/>
        </w:rPr>
        <w:t>甲方</w:t>
      </w:r>
      <w:r>
        <w:rPr>
          <w:rFonts w:hint="eastAsia" w:ascii="仿宋" w:hAnsi="仿宋" w:eastAsia="仿宋" w:cs="仿宋"/>
          <w:spacing w:val="44"/>
          <w:sz w:val="32"/>
          <w:szCs w:val="32"/>
          <w:highlight w:val="none"/>
        </w:rPr>
        <w:t>(全称):</w:t>
      </w:r>
      <w:r>
        <w:rPr>
          <w:rFonts w:hint="eastAsia" w:ascii="仿宋" w:hAnsi="仿宋" w:eastAsia="仿宋" w:cs="仿宋"/>
          <w:sz w:val="32"/>
          <w:szCs w:val="32"/>
          <w:highlight w:val="none"/>
          <w:u w:val="single"/>
          <w:lang w:val="en-US" w:eastAsia="zh-CN"/>
        </w:rPr>
        <w:t xml:space="preserve">                 </w:t>
      </w:r>
    </w:p>
    <w:p w14:paraId="33BE4508">
      <w:pPr>
        <w:keepNext w:val="0"/>
        <w:keepLines w:val="0"/>
        <w:pageBreakBefore w:val="0"/>
        <w:widowControl/>
        <w:kinsoku w:val="0"/>
        <w:wordWrap/>
        <w:overflowPunct/>
        <w:topLinePunct w:val="0"/>
        <w:autoSpaceDE w:val="0"/>
        <w:autoSpaceDN w:val="0"/>
        <w:bidi w:val="0"/>
        <w:adjustRightInd w:val="0"/>
        <w:snapToGrid w:val="0"/>
        <w:spacing w:before="81" w:line="360" w:lineRule="auto"/>
        <w:ind w:firstLine="2030" w:firstLineChars="500"/>
        <w:jc w:val="both"/>
        <w:textAlignment w:val="baseline"/>
        <w:rPr>
          <w:rFonts w:hint="eastAsia" w:ascii="仿宋" w:hAnsi="仿宋" w:eastAsia="仿宋" w:cs="仿宋"/>
          <w:sz w:val="32"/>
          <w:szCs w:val="32"/>
          <w:highlight w:val="none"/>
          <w:u w:val="single"/>
          <w:lang w:val="en-US" w:eastAsia="zh-CN"/>
        </w:rPr>
      </w:pPr>
      <w:r>
        <w:rPr>
          <w:rFonts w:hint="eastAsia" w:ascii="仿宋" w:hAnsi="仿宋" w:eastAsia="仿宋" w:cs="仿宋"/>
          <w:spacing w:val="43"/>
          <w:sz w:val="32"/>
          <w:szCs w:val="32"/>
          <w:highlight w:val="none"/>
          <w:lang w:val="en-US" w:eastAsia="zh-CN"/>
        </w:rPr>
        <w:t>乙方</w:t>
      </w:r>
      <w:r>
        <w:rPr>
          <w:rFonts w:hint="eastAsia" w:ascii="仿宋" w:hAnsi="仿宋" w:eastAsia="仿宋" w:cs="仿宋"/>
          <w:spacing w:val="43"/>
          <w:sz w:val="32"/>
          <w:szCs w:val="32"/>
          <w:highlight w:val="none"/>
        </w:rPr>
        <w:t>(全称):</w:t>
      </w:r>
      <w:r>
        <w:rPr>
          <w:rFonts w:hint="eastAsia" w:ascii="仿宋" w:hAnsi="仿宋" w:eastAsia="仿宋" w:cs="仿宋"/>
          <w:spacing w:val="43"/>
          <w:sz w:val="32"/>
          <w:szCs w:val="32"/>
          <w:highlight w:val="none"/>
          <w:u w:val="single"/>
          <w:lang w:val="en-US" w:eastAsia="zh-CN"/>
        </w:rPr>
        <w:t xml:space="preserve">           </w:t>
      </w:r>
    </w:p>
    <w:p w14:paraId="388C9C40">
      <w:pPr>
        <w:rPr>
          <w:rFonts w:hint="eastAsia" w:ascii="仿宋" w:hAnsi="仿宋" w:eastAsia="仿宋" w:cs="仿宋"/>
          <w:b/>
          <w:sz w:val="36"/>
          <w:highlight w:val="none"/>
        </w:rPr>
      </w:pPr>
      <w:r>
        <w:rPr>
          <w:rFonts w:hint="eastAsia" w:ascii="仿宋" w:hAnsi="仿宋" w:eastAsia="仿宋" w:cs="仿宋"/>
          <w:b/>
          <w:sz w:val="36"/>
          <w:highlight w:val="none"/>
        </w:rPr>
        <w:br w:type="page"/>
      </w:r>
    </w:p>
    <w:p w14:paraId="3C038999">
      <w:pPr>
        <w:spacing w:line="520" w:lineRule="exact"/>
        <w:rPr>
          <w:rFonts w:hint="eastAsia" w:ascii="仿宋" w:hAnsi="仿宋" w:eastAsia="仿宋" w:cs="仿宋"/>
          <w:sz w:val="24"/>
          <w:highlight w:val="none"/>
        </w:rPr>
      </w:pPr>
      <w:r>
        <w:rPr>
          <w:rFonts w:hint="eastAsia" w:ascii="仿宋" w:hAnsi="仿宋" w:eastAsia="仿宋" w:cs="仿宋"/>
          <w:sz w:val="24"/>
          <w:highlight w:val="none"/>
        </w:rPr>
        <w:t>一、合同格式</w:t>
      </w:r>
    </w:p>
    <w:p w14:paraId="7F94FA4F">
      <w:pPr>
        <w:widowControl/>
        <w:spacing w:line="520" w:lineRule="exact"/>
        <w:ind w:right="57" w:rightChars="27" w:firstLine="480" w:firstLineChars="200"/>
        <w:rPr>
          <w:rFonts w:hint="eastAsia" w:ascii="仿宋" w:hAnsi="仿宋" w:eastAsia="仿宋" w:cs="仿宋"/>
          <w:kern w:val="0"/>
          <w:sz w:val="24"/>
          <w:highlight w:val="none"/>
        </w:rPr>
      </w:pPr>
      <w:r>
        <w:rPr>
          <w:rFonts w:hint="eastAsia" w:ascii="仿宋" w:hAnsi="仿宋" w:eastAsia="仿宋" w:cs="仿宋"/>
          <w:sz w:val="24"/>
          <w:highlight w:val="none"/>
          <w:lang w:eastAsia="zh-CN"/>
        </w:rPr>
        <w:t>2026年全市中小企业主要负责人和安全管理人员培训项目（三次）</w:t>
      </w:r>
      <w:r>
        <w:rPr>
          <w:rFonts w:hint="eastAsia" w:ascii="仿宋" w:hAnsi="仿宋" w:eastAsia="仿宋" w:cs="仿宋"/>
          <w:sz w:val="24"/>
          <w:highlight w:val="none"/>
        </w:rPr>
        <w:t>(项目编号：</w:t>
      </w:r>
      <w:r>
        <w:rPr>
          <w:rFonts w:hint="eastAsia" w:ascii="仿宋" w:hAnsi="仿宋" w:eastAsia="仿宋" w:cs="仿宋"/>
          <w:sz w:val="24"/>
          <w:highlight w:val="none"/>
        </w:rPr>
        <w:t>ZZZC2026-011.1B</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w:t>
      </w:r>
      <w:bookmarkStart w:id="4" w:name="_GoBack"/>
      <w:bookmarkEnd w:id="4"/>
      <w:r>
        <w:rPr>
          <w:rFonts w:hint="eastAsia" w:ascii="仿宋" w:hAnsi="仿宋" w:eastAsia="仿宋" w:cs="仿宋"/>
          <w:sz w:val="24"/>
          <w:highlight w:val="none"/>
        </w:rPr>
        <w:t>，在</w:t>
      </w:r>
      <w:r>
        <w:rPr>
          <w:rFonts w:hint="eastAsia" w:ascii="仿宋" w:hAnsi="仿宋" w:eastAsia="仿宋" w:cs="仿宋"/>
          <w:sz w:val="24"/>
          <w:highlight w:val="none"/>
          <w:lang w:val="en-US" w:eastAsia="zh-CN"/>
        </w:rPr>
        <w:t>西安市财政局</w:t>
      </w:r>
      <w:r>
        <w:rPr>
          <w:rFonts w:hint="eastAsia" w:ascii="仿宋" w:hAnsi="仿宋" w:eastAsia="仿宋" w:cs="仿宋"/>
          <w:sz w:val="24"/>
          <w:highlight w:val="none"/>
        </w:rPr>
        <w:t>的监督管理</w:t>
      </w:r>
      <w:r>
        <w:rPr>
          <w:rFonts w:hint="eastAsia" w:ascii="仿宋" w:hAnsi="仿宋" w:eastAsia="仿宋" w:cs="仿宋"/>
          <w:kern w:val="0"/>
          <w:sz w:val="24"/>
          <w:highlight w:val="none"/>
        </w:rPr>
        <w:t>下，由</w:t>
      </w:r>
      <w:r>
        <w:rPr>
          <w:rFonts w:hint="eastAsia" w:ascii="仿宋" w:hAnsi="仿宋" w:eastAsia="仿宋" w:cs="仿宋"/>
          <w:kern w:val="0"/>
          <w:sz w:val="24"/>
          <w:highlight w:val="none"/>
          <w:lang w:eastAsia="zh-CN"/>
        </w:rPr>
        <w:t>中招(陕西)项目管理有限公司</w:t>
      </w:r>
      <w:r>
        <w:rPr>
          <w:rFonts w:hint="eastAsia" w:ascii="仿宋" w:hAnsi="仿宋" w:eastAsia="仿宋" w:cs="仿宋"/>
          <w:kern w:val="0"/>
          <w:sz w:val="24"/>
          <w:highlight w:val="none"/>
        </w:rPr>
        <w:t>组织竞争性磋商。</w:t>
      </w:r>
      <w:r>
        <w:rPr>
          <w:rFonts w:hint="eastAsia" w:ascii="仿宋" w:hAnsi="仿宋" w:eastAsia="仿宋" w:cs="仿宋"/>
          <w:sz w:val="24"/>
          <w:highlight w:val="none"/>
          <w:lang w:eastAsia="zh-CN"/>
        </w:rPr>
        <w:t>西安市应急管理局</w:t>
      </w:r>
      <w:r>
        <w:rPr>
          <w:rFonts w:hint="eastAsia" w:ascii="仿宋" w:hAnsi="仿宋" w:eastAsia="仿宋" w:cs="仿宋"/>
          <w:kern w:val="0"/>
          <w:sz w:val="24"/>
          <w:highlight w:val="none"/>
        </w:rPr>
        <w:t>(以下简称“甲方”)确定</w:t>
      </w:r>
      <w:r>
        <w:rPr>
          <w:rFonts w:hint="eastAsia" w:ascii="仿宋" w:hAnsi="仿宋" w:eastAsia="仿宋" w:cs="仿宋"/>
          <w:kern w:val="0"/>
          <w:sz w:val="24"/>
          <w:highlight w:val="none"/>
          <w:u w:val="single"/>
        </w:rPr>
        <w:t xml:space="preserve"> (成交单位名称) </w:t>
      </w:r>
      <w:r>
        <w:rPr>
          <w:rFonts w:hint="eastAsia" w:ascii="仿宋" w:hAnsi="仿宋" w:eastAsia="仿宋" w:cs="仿宋"/>
          <w:kern w:val="0"/>
          <w:sz w:val="24"/>
          <w:highlight w:val="none"/>
        </w:rPr>
        <w:t>（以下简称“乙方”）为成交单位。</w:t>
      </w:r>
    </w:p>
    <w:p w14:paraId="2606B626">
      <w:pPr>
        <w:spacing w:line="520" w:lineRule="exact"/>
        <w:ind w:right="210" w:rightChars="100"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依据《</w:t>
      </w:r>
      <w:r>
        <w:rPr>
          <w:rFonts w:hint="eastAsia" w:ascii="仿宋" w:hAnsi="仿宋" w:eastAsia="仿宋" w:cs="仿宋"/>
          <w:kern w:val="0"/>
          <w:sz w:val="24"/>
          <w:highlight w:val="none"/>
          <w:lang w:eastAsia="zh-CN"/>
        </w:rPr>
        <w:t>中华人民共和国民法典</w:t>
      </w:r>
      <w:r>
        <w:rPr>
          <w:rFonts w:hint="eastAsia" w:ascii="仿宋" w:hAnsi="仿宋" w:eastAsia="仿宋" w:cs="仿宋"/>
          <w:kern w:val="0"/>
          <w:sz w:val="24"/>
          <w:highlight w:val="none"/>
        </w:rPr>
        <w:t>》和《中华人民共和国政府采购法》《中华人民共和国政府采购法实施条例》，甲方通过竞争性磋商采购</w:t>
      </w:r>
      <w:r>
        <w:rPr>
          <w:rFonts w:hint="eastAsia" w:ascii="仿宋" w:hAnsi="仿宋" w:eastAsia="仿宋" w:cs="仿宋"/>
          <w:kern w:val="0"/>
          <w:sz w:val="24"/>
          <w:highlight w:val="none"/>
          <w:u w:val="single"/>
          <w:lang w:val="en-US" w:eastAsia="zh-CN"/>
        </w:rPr>
        <w:t>2026年全市中小企业主要负责人和安全管理人员培训项目（三次）</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，并接受了乙方以价格</w:t>
      </w:r>
      <w:r>
        <w:rPr>
          <w:rFonts w:hint="eastAsia" w:ascii="仿宋" w:hAnsi="仿宋" w:eastAsia="仿宋" w:cs="仿宋"/>
          <w:kern w:val="0"/>
          <w:sz w:val="24"/>
          <w:highlight w:val="none"/>
          <w:u w:val="single"/>
        </w:rPr>
        <w:t>(成交金额大写)</w:t>
      </w:r>
      <w:r>
        <w:rPr>
          <w:rFonts w:hint="eastAsia" w:ascii="仿宋" w:hAnsi="仿宋" w:eastAsia="仿宋" w:cs="仿宋"/>
          <w:kern w:val="0"/>
          <w:sz w:val="24"/>
          <w:highlight w:val="none"/>
        </w:rPr>
        <w:t>(以下简称“合同价”)提供的服务。</w:t>
      </w:r>
    </w:p>
    <w:p w14:paraId="27AD15D3">
      <w:pPr>
        <w:spacing w:line="520" w:lineRule="exact"/>
        <w:ind w:firstLine="480" w:firstLineChars="200"/>
        <w:rPr>
          <w:rFonts w:hint="eastAsia" w:ascii="仿宋" w:hAnsi="仿宋" w:eastAsia="仿宋" w:cs="仿宋"/>
          <w:sz w:val="24"/>
          <w:highlight w:val="none"/>
        </w:rPr>
      </w:pPr>
      <w:bookmarkStart w:id="0" w:name="_Toc194663916"/>
      <w:bookmarkStart w:id="1" w:name="_Toc188808831"/>
      <w:bookmarkStart w:id="2" w:name="_Toc193187095"/>
      <w:bookmarkStart w:id="3" w:name="_Toc193126879"/>
      <w:r>
        <w:rPr>
          <w:rFonts w:hint="eastAsia" w:ascii="仿宋" w:hAnsi="仿宋" w:eastAsia="仿宋" w:cs="仿宋"/>
          <w:sz w:val="24"/>
          <w:highlight w:val="none"/>
        </w:rPr>
        <w:t>本合同在此声明如下：</w:t>
      </w:r>
    </w:p>
    <w:p w14:paraId="4D12D5A5">
      <w:pPr>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本合同中的词语和术语的含义与合同条款中定义的相同。</w:t>
      </w:r>
    </w:p>
    <w:p w14:paraId="1F9AB5A8">
      <w:pPr>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下述文件是本合同的一部分，并与本合同一起阅读和解释：</w:t>
      </w:r>
    </w:p>
    <w:p w14:paraId="33E0E2A6">
      <w:pPr>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2.1</w:t>
      </w:r>
      <w:r>
        <w:rPr>
          <w:rFonts w:hint="eastAsia" w:ascii="仿宋" w:hAnsi="仿宋" w:eastAsia="仿宋" w:cs="仿宋"/>
          <w:sz w:val="24"/>
          <w:highlight w:val="none"/>
        </w:rPr>
        <w:t>合同条款</w:t>
      </w:r>
    </w:p>
    <w:p w14:paraId="7C965314">
      <w:pPr>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2.2</w:t>
      </w:r>
      <w:r>
        <w:rPr>
          <w:rFonts w:hint="eastAsia" w:ascii="仿宋" w:hAnsi="仿宋" w:eastAsia="仿宋" w:cs="仿宋"/>
          <w:sz w:val="24"/>
          <w:highlight w:val="none"/>
        </w:rPr>
        <w:t>合同条款附件</w:t>
      </w:r>
    </w:p>
    <w:p w14:paraId="3E5973F2">
      <w:pPr>
        <w:spacing w:line="520" w:lineRule="exact"/>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highlight w:val="none"/>
        </w:rPr>
        <w:t>附件—</w:t>
      </w:r>
      <w:r>
        <w:rPr>
          <w:rFonts w:hint="eastAsia" w:ascii="仿宋" w:hAnsi="仿宋" w:eastAsia="仿宋" w:cs="仿宋"/>
          <w:sz w:val="24"/>
          <w:highlight w:val="none"/>
          <w:lang w:val="en-US" w:eastAsia="zh-CN"/>
        </w:rPr>
        <w:t>服务保障措施</w:t>
      </w:r>
    </w:p>
    <w:p w14:paraId="4C003654">
      <w:pPr>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2.3</w:t>
      </w:r>
      <w:r>
        <w:rPr>
          <w:rFonts w:hint="eastAsia" w:ascii="仿宋" w:hAnsi="仿宋" w:eastAsia="仿宋" w:cs="仿宋"/>
          <w:sz w:val="24"/>
          <w:highlight w:val="none"/>
        </w:rPr>
        <w:t>成交通知书</w:t>
      </w:r>
    </w:p>
    <w:p w14:paraId="2E530D70">
      <w:pPr>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2.4</w:t>
      </w:r>
      <w:r>
        <w:rPr>
          <w:rFonts w:hint="eastAsia" w:ascii="仿宋" w:hAnsi="仿宋" w:eastAsia="仿宋" w:cs="仿宋"/>
          <w:sz w:val="24"/>
          <w:highlight w:val="none"/>
        </w:rPr>
        <w:t>竞争性磋商文件</w:t>
      </w:r>
    </w:p>
    <w:p w14:paraId="7555D0CD">
      <w:pPr>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2.5</w:t>
      </w:r>
      <w:r>
        <w:rPr>
          <w:rFonts w:hint="eastAsia" w:ascii="仿宋" w:hAnsi="仿宋" w:eastAsia="仿宋" w:cs="仿宋"/>
          <w:sz w:val="24"/>
          <w:highlight w:val="none"/>
        </w:rPr>
        <w:t>竞争性磋商响应文件</w:t>
      </w:r>
    </w:p>
    <w:p w14:paraId="61579317">
      <w:pPr>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考虑到甲方将按照本合同向乙方支付款项，乙方在此保证全部按照合同的规定向甲方提供服务，并修补缺陷。</w:t>
      </w:r>
    </w:p>
    <w:p w14:paraId="3D18FD79">
      <w:pPr>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考虑到乙方提供的服务并修补缺陷，甲方在此保证按照合同规定的时间和方式向乙方支付合同价或其他按合同规定应支付的金额。</w:t>
      </w:r>
    </w:p>
    <w:p w14:paraId="3544D808">
      <w:pPr>
        <w:pStyle w:val="3"/>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付款方式：</w:t>
      </w:r>
    </w:p>
    <w:p w14:paraId="7892154F">
      <w:pPr>
        <w:pStyle w:val="3"/>
        <w:spacing w:line="48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val="en-US" w:eastAsia="zh-CN"/>
        </w:rPr>
        <w:t>.1</w:t>
      </w:r>
      <w:r>
        <w:rPr>
          <w:rFonts w:hint="eastAsia" w:ascii="仿宋" w:hAnsi="仿宋" w:eastAsia="仿宋" w:cs="仿宋"/>
          <w:sz w:val="24"/>
          <w:szCs w:val="24"/>
          <w:highlight w:val="none"/>
        </w:rPr>
        <w:t>在每次付款前，乙方先向甲方开具等额发票。</w:t>
      </w:r>
    </w:p>
    <w:p w14:paraId="300C1039">
      <w:pPr>
        <w:pStyle w:val="3"/>
        <w:spacing w:line="480" w:lineRule="exact"/>
        <w:ind w:firstLine="480" w:firstLineChars="2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付款方式：</w:t>
      </w:r>
      <w:r>
        <w:rPr>
          <w:rFonts w:hint="eastAsia" w:ascii="仿宋" w:hAnsi="仿宋" w:eastAsia="仿宋" w:cs="仿宋"/>
          <w:sz w:val="24"/>
          <w:szCs w:val="24"/>
          <w:highlight w:val="none"/>
          <w:u w:val="single"/>
          <w:lang w:val="en-US" w:eastAsia="zh-CN"/>
        </w:rPr>
        <w:t xml:space="preserve">                        </w:t>
      </w:r>
    </w:p>
    <w:p w14:paraId="232DBA91">
      <w:pPr>
        <w:adjustRightInd w:val="0"/>
        <w:snapToGrid w:val="0"/>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服务期限：</w:t>
      </w:r>
    </w:p>
    <w:p w14:paraId="25CB1E41">
      <w:pPr>
        <w:adjustRightInd w:val="0"/>
        <w:snapToGrid w:val="0"/>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  服务地点：</w:t>
      </w:r>
      <w:r>
        <w:rPr>
          <w:rFonts w:hint="eastAsia" w:ascii="仿宋" w:hAnsi="仿宋" w:eastAsia="仿宋" w:cs="仿宋"/>
          <w:sz w:val="24"/>
          <w:highlight w:val="none"/>
          <w:lang w:eastAsia="zh-CN"/>
        </w:rPr>
        <w:t>西安市内（采购人指定地点）</w:t>
      </w:r>
      <w:r>
        <w:rPr>
          <w:rFonts w:hint="eastAsia" w:ascii="仿宋" w:hAnsi="仿宋" w:eastAsia="仿宋" w:cs="仿宋"/>
          <w:sz w:val="24"/>
          <w:highlight w:val="none"/>
        </w:rPr>
        <w:t>。</w:t>
      </w:r>
    </w:p>
    <w:p w14:paraId="033585F3">
      <w:pPr>
        <w:adjustRightInd w:val="0"/>
        <w:spacing w:line="52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本合同一式</w:t>
      </w:r>
      <w:r>
        <w:rPr>
          <w:rFonts w:hint="eastAsia" w:ascii="仿宋" w:hAnsi="仿宋" w:eastAsia="仿宋" w:cs="仿宋"/>
          <w:sz w:val="24"/>
          <w:highlight w:val="none"/>
          <w:lang w:val="en-US" w:eastAsia="zh-CN"/>
        </w:rPr>
        <w:t>肆</w:t>
      </w:r>
      <w:r>
        <w:rPr>
          <w:rFonts w:hint="eastAsia" w:ascii="仿宋" w:hAnsi="仿宋" w:eastAsia="仿宋" w:cs="仿宋"/>
          <w:sz w:val="24"/>
          <w:highlight w:val="none"/>
        </w:rPr>
        <w:t>份，其中，甲方贰份，乙方贰份。</w:t>
      </w:r>
    </w:p>
    <w:p w14:paraId="22933BE1">
      <w:pPr>
        <w:adjustRightInd w:val="0"/>
        <w:snapToGrid w:val="0"/>
        <w:spacing w:line="52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8</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本合同由甲乙双方共同签字盖章之日起生效。</w:t>
      </w:r>
    </w:p>
    <w:p w14:paraId="21A66D9C">
      <w:pPr>
        <w:adjustRightInd w:val="0"/>
        <w:spacing w:line="520" w:lineRule="exact"/>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en-US" w:eastAsia="zh-CN"/>
        </w:rPr>
        <w:t>9.政府采购信用担保及信用融资政策</w:t>
      </w:r>
    </w:p>
    <w:p w14:paraId="5F09A9F8">
      <w:pPr>
        <w:adjustRightInd w:val="0"/>
        <w:spacing w:line="520" w:lineRule="exact"/>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D5E2EB4">
      <w:pPr>
        <w:adjustRightInd w:val="0"/>
        <w:spacing w:line="520" w:lineRule="exact"/>
        <w:ind w:firstLine="480" w:firstLineChars="200"/>
        <w:rPr>
          <w:rFonts w:hint="eastAsia" w:ascii="仿宋" w:hAnsi="仿宋" w:eastAsia="仿宋" w:cs="仿宋"/>
          <w:highlight w:val="none"/>
          <w:lang w:val="en-US" w:eastAsia="zh-CN"/>
        </w:rPr>
      </w:pPr>
      <w:r>
        <w:rPr>
          <w:rFonts w:hint="eastAsia" w:ascii="仿宋" w:hAnsi="仿宋" w:eastAsia="仿宋" w:cs="仿宋"/>
          <w:sz w:val="24"/>
          <w:highlight w:val="none"/>
          <w:lang w:eastAsia="zh-CN"/>
        </w:rPr>
        <w:t>乙方</w:t>
      </w:r>
      <w:r>
        <w:rPr>
          <w:rFonts w:hint="eastAsia" w:ascii="仿宋" w:hAnsi="仿宋" w:eastAsia="仿宋" w:cs="仿宋"/>
          <w:sz w:val="24"/>
          <w:highlight w:val="none"/>
        </w:rPr>
        <w:t>如果需要融资贷款服务</w:t>
      </w:r>
      <w:r>
        <w:rPr>
          <w:rFonts w:hint="eastAsia" w:ascii="仿宋" w:hAnsi="仿宋" w:eastAsia="仿宋" w:cs="仿宋"/>
          <w:sz w:val="24"/>
          <w:highlight w:val="none"/>
          <w:lang w:eastAsia="zh-CN"/>
        </w:rPr>
        <w:t>需求</w:t>
      </w:r>
      <w:r>
        <w:rPr>
          <w:rFonts w:hint="eastAsia" w:ascii="仿宋" w:hAnsi="仿宋" w:eastAsia="仿宋" w:cs="仿宋"/>
          <w:sz w:val="24"/>
          <w:highlight w:val="none"/>
        </w:rPr>
        <w:t>的，可凭</w:t>
      </w:r>
      <w:r>
        <w:rPr>
          <w:rFonts w:hint="eastAsia" w:ascii="仿宋" w:hAnsi="仿宋" w:eastAsia="仿宋" w:cs="仿宋"/>
          <w:sz w:val="24"/>
          <w:highlight w:val="none"/>
          <w:lang w:eastAsia="zh-CN"/>
        </w:rPr>
        <w:t>成交</w:t>
      </w:r>
      <w:r>
        <w:rPr>
          <w:rFonts w:hint="eastAsia" w:ascii="仿宋" w:hAnsi="仿宋" w:eastAsia="仿宋" w:cs="仿宋"/>
          <w:sz w:val="24"/>
          <w:highlight w:val="none"/>
        </w:rPr>
        <w:t>通知书、政府采购合同等相关资料，按照文件规定的相关政策、业务流程申请办理，具体规定可</w:t>
      </w:r>
      <w:r>
        <w:rPr>
          <w:rFonts w:hint="eastAsia" w:ascii="仿宋" w:hAnsi="仿宋" w:eastAsia="仿宋" w:cs="仿宋"/>
          <w:sz w:val="24"/>
          <w:highlight w:val="none"/>
          <w:lang w:eastAsia="zh-CN"/>
        </w:rPr>
        <w:t>登录</w:t>
      </w:r>
      <w:r>
        <w:rPr>
          <w:rFonts w:hint="eastAsia" w:ascii="仿宋" w:hAnsi="仿宋" w:eastAsia="仿宋" w:cs="仿宋"/>
          <w:sz w:val="24"/>
          <w:highlight w:val="none"/>
        </w:rPr>
        <w:t>陕西省政府采购信用融资平台（http://www.ccgp-shaanxi.gov.cn/zcdservice/zcd/shanxi/）查询了解。</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17541699">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5BDA5DF0">
            <w:pPr>
              <w:autoSpaceDE w:val="0"/>
              <w:autoSpaceDN w:val="0"/>
              <w:spacing w:line="360" w:lineRule="auto"/>
              <w:ind w:left="210" w:leftChars="100"/>
              <w:rPr>
                <w:rFonts w:hint="eastAsia" w:ascii="仿宋" w:hAnsi="仿宋" w:eastAsia="仿宋" w:cs="仿宋"/>
                <w:sz w:val="24"/>
                <w:highlight w:val="none"/>
                <w:lang w:val="en-US" w:eastAsia="zh-CN"/>
              </w:rPr>
            </w:pPr>
            <w:r>
              <w:rPr>
                <w:rFonts w:hint="eastAsia" w:ascii="仿宋" w:hAnsi="仿宋" w:eastAsia="仿宋" w:cs="仿宋"/>
                <w:sz w:val="24"/>
                <w:highlight w:val="none"/>
              </w:rPr>
              <w:t>甲方名称：</w:t>
            </w:r>
            <w:r>
              <w:rPr>
                <w:rFonts w:hint="eastAsia" w:ascii="仿宋" w:hAnsi="仿宋" w:eastAsia="仿宋" w:cs="仿宋"/>
                <w:sz w:val="24"/>
                <w:highlight w:val="none"/>
                <w:lang w:eastAsia="zh-CN"/>
              </w:rPr>
              <w:t>（盖章）</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p>
          <w:p w14:paraId="0E0FAA3A">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 xml:space="preserve">地    址： </w:t>
            </w:r>
          </w:p>
          <w:p w14:paraId="6D3B408E">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邮    编：</w:t>
            </w:r>
          </w:p>
          <w:p w14:paraId="5ABB58A3">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电    话：</w:t>
            </w:r>
          </w:p>
          <w:p w14:paraId="0D5F65E0">
            <w:pPr>
              <w:autoSpaceDE w:val="0"/>
              <w:autoSpaceDN w:val="0"/>
              <w:spacing w:line="360" w:lineRule="auto"/>
              <w:ind w:left="210" w:leftChars="100"/>
              <w:rPr>
                <w:rFonts w:hint="eastAsia" w:ascii="仿宋" w:hAnsi="仿宋" w:eastAsia="仿宋" w:cs="仿宋"/>
                <w:sz w:val="24"/>
                <w:highlight w:val="none"/>
              </w:rPr>
            </w:pPr>
          </w:p>
          <w:p w14:paraId="50D6F379">
            <w:pPr>
              <w:autoSpaceDE w:val="0"/>
              <w:autoSpaceDN w:val="0"/>
              <w:spacing w:line="360" w:lineRule="auto"/>
              <w:ind w:left="210" w:leftChars="100"/>
              <w:rPr>
                <w:rFonts w:hint="eastAsia" w:ascii="仿宋" w:hAnsi="仿宋" w:eastAsia="仿宋" w:cs="仿宋"/>
                <w:sz w:val="24"/>
                <w:highlight w:val="none"/>
              </w:rPr>
            </w:pPr>
          </w:p>
          <w:p w14:paraId="3CB240D6">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代表签字</w:t>
            </w:r>
            <w:r>
              <w:rPr>
                <w:rFonts w:hint="eastAsia" w:ascii="仿宋" w:hAnsi="仿宋" w:eastAsia="仿宋" w:cs="仿宋"/>
                <w:sz w:val="24"/>
                <w:highlight w:val="none"/>
                <w:lang w:eastAsia="zh-CN"/>
              </w:rPr>
              <w:t>或盖章</w:t>
            </w:r>
            <w:r>
              <w:rPr>
                <w:rFonts w:hint="eastAsia" w:ascii="仿宋" w:hAnsi="仿宋" w:eastAsia="仿宋" w:cs="仿宋"/>
                <w:sz w:val="24"/>
                <w:highlight w:val="none"/>
              </w:rPr>
              <w:t>：</w:t>
            </w:r>
          </w:p>
          <w:p w14:paraId="2DD5E4BD">
            <w:pPr>
              <w:autoSpaceDE w:val="0"/>
              <w:autoSpaceDN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年  月  日      </w:t>
            </w:r>
          </w:p>
          <w:p w14:paraId="1506F57F">
            <w:pPr>
              <w:autoSpaceDE w:val="0"/>
              <w:autoSpaceDN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p>
        </w:tc>
        <w:tc>
          <w:tcPr>
            <w:tcW w:w="3936" w:type="dxa"/>
            <w:noWrap w:val="0"/>
            <w:tcMar>
              <w:top w:w="113" w:type="dxa"/>
              <w:left w:w="113" w:type="dxa"/>
              <w:bottom w:w="113" w:type="dxa"/>
              <w:right w:w="113" w:type="dxa"/>
            </w:tcMar>
            <w:vAlign w:val="top"/>
          </w:tcPr>
          <w:p w14:paraId="213E66FC">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乙方名称：</w:t>
            </w:r>
            <w:r>
              <w:rPr>
                <w:rFonts w:hint="eastAsia" w:ascii="仿宋" w:hAnsi="仿宋" w:eastAsia="仿宋" w:cs="仿宋"/>
                <w:sz w:val="24"/>
                <w:highlight w:val="none"/>
                <w:lang w:eastAsia="zh-CN"/>
              </w:rPr>
              <w:t>（盖章）</w:t>
            </w:r>
          </w:p>
          <w:p w14:paraId="54C35367">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 xml:space="preserve">地    址： </w:t>
            </w:r>
          </w:p>
          <w:p w14:paraId="359D4E08">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 xml:space="preserve">邮    编： </w:t>
            </w:r>
          </w:p>
          <w:p w14:paraId="17628AD7">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 xml:space="preserve">电    话： </w:t>
            </w:r>
          </w:p>
          <w:p w14:paraId="4C2F9615">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开户银行：</w:t>
            </w:r>
          </w:p>
          <w:p w14:paraId="0C8259A8">
            <w:pPr>
              <w:autoSpaceDE w:val="0"/>
              <w:autoSpaceDN w:val="0"/>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lang w:eastAsia="zh-CN"/>
              </w:rPr>
              <w:t>账</w:t>
            </w:r>
            <w:r>
              <w:rPr>
                <w:rFonts w:hint="eastAsia" w:ascii="仿宋" w:hAnsi="仿宋" w:eastAsia="仿宋" w:cs="仿宋"/>
                <w:sz w:val="24"/>
                <w:highlight w:val="none"/>
              </w:rPr>
              <w:t xml:space="preserve">    号：</w:t>
            </w:r>
          </w:p>
          <w:p w14:paraId="5B615DF6">
            <w:pPr>
              <w:autoSpaceDE w:val="0"/>
              <w:autoSpaceDN w:val="0"/>
              <w:spacing w:line="360" w:lineRule="auto"/>
              <w:ind w:left="210" w:leftChars="100"/>
              <w:rPr>
                <w:rFonts w:hint="eastAsia" w:ascii="仿宋" w:hAnsi="仿宋" w:eastAsia="仿宋" w:cs="仿宋"/>
                <w:sz w:val="24"/>
                <w:highlight w:val="none"/>
                <w:lang w:eastAsia="zh-CN"/>
              </w:rPr>
            </w:pPr>
            <w:r>
              <w:rPr>
                <w:rFonts w:hint="eastAsia" w:ascii="仿宋" w:hAnsi="仿宋" w:eastAsia="仿宋" w:cs="仿宋"/>
                <w:sz w:val="24"/>
                <w:highlight w:val="none"/>
              </w:rPr>
              <w:t>代表签字</w:t>
            </w:r>
            <w:r>
              <w:rPr>
                <w:rFonts w:hint="eastAsia" w:ascii="仿宋" w:hAnsi="仿宋" w:eastAsia="仿宋" w:cs="仿宋"/>
                <w:sz w:val="24"/>
                <w:highlight w:val="none"/>
                <w:lang w:eastAsia="zh-CN"/>
              </w:rPr>
              <w:t>或盖章：</w:t>
            </w:r>
          </w:p>
          <w:p w14:paraId="657A239D">
            <w:pPr>
              <w:spacing w:line="360" w:lineRule="auto"/>
              <w:ind w:left="210" w:leftChars="100"/>
              <w:rPr>
                <w:rFonts w:hint="eastAsia" w:ascii="仿宋" w:hAnsi="仿宋" w:eastAsia="仿宋" w:cs="仿宋"/>
                <w:sz w:val="24"/>
                <w:highlight w:val="none"/>
              </w:rPr>
            </w:pP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     年  月  日</w:t>
            </w:r>
          </w:p>
        </w:tc>
      </w:tr>
    </w:tbl>
    <w:p w14:paraId="3C7F358F">
      <w:pPr>
        <w:spacing w:line="520" w:lineRule="exact"/>
        <w:rPr>
          <w:rFonts w:hint="eastAsia" w:ascii="仿宋" w:hAnsi="仿宋" w:eastAsia="仿宋" w:cs="仿宋"/>
          <w:sz w:val="24"/>
          <w:highlight w:val="none"/>
        </w:rPr>
      </w:pPr>
    </w:p>
    <w:p w14:paraId="081DE255">
      <w:pPr>
        <w:spacing w:line="520" w:lineRule="exact"/>
        <w:rPr>
          <w:rFonts w:hint="eastAsia" w:ascii="仿宋" w:hAnsi="仿宋" w:eastAsia="仿宋" w:cs="仿宋"/>
          <w:sz w:val="24"/>
          <w:highlight w:val="none"/>
        </w:rPr>
      </w:pPr>
    </w:p>
    <w:p w14:paraId="54119484">
      <w:pPr>
        <w:spacing w:line="520" w:lineRule="exact"/>
        <w:rPr>
          <w:rFonts w:hint="eastAsia" w:ascii="仿宋" w:hAnsi="仿宋" w:eastAsia="仿宋" w:cs="仿宋"/>
          <w:sz w:val="24"/>
          <w:highlight w:val="none"/>
        </w:rPr>
      </w:pPr>
    </w:p>
    <w:bookmarkEnd w:id="0"/>
    <w:bookmarkEnd w:id="1"/>
    <w:bookmarkEnd w:id="2"/>
    <w:bookmarkEnd w:id="3"/>
    <w:p w14:paraId="329E5BCD">
      <w:pPr>
        <w:spacing w:line="520" w:lineRule="exact"/>
        <w:rPr>
          <w:rFonts w:hint="eastAsia" w:ascii="仿宋" w:hAnsi="仿宋" w:eastAsia="仿宋" w:cs="仿宋"/>
          <w:sz w:val="24"/>
          <w:highlight w:val="none"/>
        </w:rPr>
      </w:pPr>
    </w:p>
    <w:p w14:paraId="4710F339">
      <w:pPr>
        <w:spacing w:line="520" w:lineRule="exact"/>
        <w:rPr>
          <w:rFonts w:hint="eastAsia" w:ascii="仿宋" w:hAnsi="仿宋" w:eastAsia="仿宋" w:cs="仿宋"/>
          <w:sz w:val="24"/>
          <w:highlight w:val="none"/>
        </w:rPr>
      </w:pPr>
    </w:p>
    <w:p w14:paraId="1FEE0F00">
      <w:pPr>
        <w:spacing w:line="520" w:lineRule="exact"/>
        <w:rPr>
          <w:rFonts w:hint="eastAsia" w:ascii="仿宋" w:hAnsi="仿宋" w:eastAsia="仿宋" w:cs="仿宋"/>
          <w:sz w:val="24"/>
          <w:highlight w:val="none"/>
        </w:rPr>
      </w:pPr>
      <w:r>
        <w:rPr>
          <w:rFonts w:hint="eastAsia" w:ascii="仿宋" w:hAnsi="仿宋" w:eastAsia="仿宋" w:cs="仿宋"/>
          <w:sz w:val="24"/>
          <w:highlight w:val="none"/>
        </w:rPr>
        <w:t>二、合同条款</w:t>
      </w:r>
    </w:p>
    <w:p w14:paraId="45E9960A">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第一条 本着平等互惠、互相支持、共同发展的原则，就甲方针对本项目的事宜， 经甲乙双方友好协商，共同签署本合同，以资共同遵守。 </w:t>
      </w:r>
    </w:p>
    <w:p w14:paraId="3036CF20">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第二条 服务定义：根据甲方需要，乙方为甲方提供该项目的服务等业务。 </w:t>
      </w:r>
    </w:p>
    <w:p w14:paraId="373DE5C9">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334FA8F">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第四条 甲方的权利</w:t>
      </w:r>
    </w:p>
    <w:p w14:paraId="101651C4">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甲方有权享有乙方按照上述约定提供的服务。</w:t>
      </w:r>
    </w:p>
    <w:p w14:paraId="7CCFBDCE">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2</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365A43BD">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3</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99B8903">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4</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除本合同约定的服务费用外，乙方不得向甲方及其甲方人员收取其他任何费用，如甲方发现乙方有此类行为，甲方有权要求乙方清退所收费用，退还利息并支付违约金；</w:t>
      </w:r>
    </w:p>
    <w:p w14:paraId="3D2B5C72">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5</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对乙方相关服务资料的所有权、使用权的约定：归甲方所有。乙方不得以任何借口留存，否则承担由此产生的一切法律和经济责任。未经甲方允许，任何单位和个人不得转让和使用本项目的相关内容。</w:t>
      </w:r>
    </w:p>
    <w:p w14:paraId="08FDF496">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第五条 甲方的义务</w:t>
      </w:r>
    </w:p>
    <w:p w14:paraId="43F8903E">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在服务实施过程中，甲方应为乙方提供必要的工作便利与指导，配合乙方履行职责。 </w:t>
      </w:r>
    </w:p>
    <w:p w14:paraId="713F76BC">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2</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甲方不得将本合同的内容向甲乙双方以外的、与签订和履行本合同无关的任何第三方透露，不得泄露乙方的商业秘密（包括本合同及其附件和合同签订前的各项方案） 。</w:t>
      </w:r>
    </w:p>
    <w:p w14:paraId="1364B857">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第六条 任何一方违反或擅自变更本合同的约定，应当承担由此给对方造成的经济损失和相关责任。</w:t>
      </w:r>
    </w:p>
    <w:p w14:paraId="7A74A64F">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第七条甲方违约责任</w:t>
      </w:r>
    </w:p>
    <w:p w14:paraId="6F23B979">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由于甲方的原因或因不可抗力的自然因素影响，则服务周期顺延。</w:t>
      </w:r>
    </w:p>
    <w:p w14:paraId="7A46DFCA">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2</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对于乙方提供的资料以及属于乙方的内容，甲方有义务保密，不得向第三方提供或用于本合同以外的项目，否则乙方有权要求甲方按本合同项目款总额的20%赔偿损失。 </w:t>
      </w:r>
    </w:p>
    <w:p w14:paraId="79DB132A">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第八条乙方违约责任</w:t>
      </w:r>
    </w:p>
    <w:p w14:paraId="3C60316B">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合同签订后，如乙方擅自中途停止或解除合同，乙方应向甲方双倍返还定金。没有约定定金的，乙方向甲方赔偿服务价款。</w:t>
      </w:r>
    </w:p>
    <w:p w14:paraId="0A47B4CE">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2</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在甲方提供了必要的工作、生活条件，并且保证了项目款按时到位，乙方未能按合同规定的日期提供服务时，应向甲方赔偿拖期损失费，每天的拖期损失费按合同约定的项目总价款。</w:t>
      </w:r>
    </w:p>
    <w:p w14:paraId="6FBA6ABB">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3</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因天气、交通、政府行为、甲方提供的资料不准确等客观原因造成的服务周期拖期，乙方不承担赔偿责任。 </w:t>
      </w:r>
    </w:p>
    <w:p w14:paraId="239686DD">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4</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7394DD23">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5</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5CB4D626">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6</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54D4F940">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7</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在合同期内和合同终止后，乙方应负责所有资料的保密，非经甲方书面认可，不得向任何人以任何方式提供任何资料。严格按甲方要求程序传递各种资料，否则甲方有权单方解除合同，并追回所付项目款。</w:t>
      </w:r>
    </w:p>
    <w:p w14:paraId="31CAFD2C">
      <w:pPr>
        <w:spacing w:line="520" w:lineRule="exact"/>
        <w:ind w:firstLine="616" w:firstLineChars="257"/>
        <w:rPr>
          <w:rFonts w:hint="eastAsia" w:ascii="仿宋" w:hAnsi="仿宋" w:eastAsia="仿宋" w:cs="仿宋"/>
          <w:kern w:val="0"/>
          <w:sz w:val="24"/>
          <w:highlight w:val="none"/>
        </w:rPr>
      </w:pPr>
      <w:r>
        <w:rPr>
          <w:rFonts w:hint="eastAsia" w:ascii="仿宋" w:hAnsi="仿宋" w:eastAsia="仿宋" w:cs="仿宋"/>
          <w:kern w:val="0"/>
          <w:sz w:val="24"/>
          <w:highlight w:val="none"/>
        </w:rPr>
        <w:t>8</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乙方不得将本项目的任何部分转包或分包给其他任何单位和个人。若擅自转包或分包本合同标的，甲方有权解除合同，并可要求乙方偿付预算30%的违约金，同时追究其法律责任。 </w:t>
      </w:r>
    </w:p>
    <w:p w14:paraId="2B1DBCBD">
      <w:pPr>
        <w:spacing w:line="52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A7EC941">
      <w:pPr>
        <w:spacing w:line="52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528B9254">
      <w:pPr>
        <w:spacing w:line="52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第十一条 甲、乙双方有一方有正当理由要求变更本合同，须提前一个月以书面形式通知对方并协商解决，双方应签署变更合同。 </w:t>
      </w:r>
    </w:p>
    <w:p w14:paraId="5728EB76">
      <w:pPr>
        <w:spacing w:line="52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第十二条 本合同期满双方不再续约或者因一方违约导致本合同无法履行，则本合同终止。但合同的终止不得损害第三方的利益，双方应为此做出合理安排。 </w:t>
      </w:r>
    </w:p>
    <w:p w14:paraId="794B6390">
      <w:pPr>
        <w:spacing w:line="52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第十三条 未经对方同意，甲乙任何一方不得将本合同部分或全部权利和义务转让给第三方。</w:t>
      </w:r>
    </w:p>
    <w:p w14:paraId="3AE4AC7C">
      <w:pPr>
        <w:spacing w:line="52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第十四条 本合同中涉及的所有“通知”、“同意”、“确认” 等事项均应以书面形式做出，并作为依据。</w:t>
      </w:r>
    </w:p>
    <w:p w14:paraId="421A9BE8">
      <w:pPr>
        <w:spacing w:line="52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第十五条 本合同有关附件及补充合同是本合同不可分割的组成部分，与本合同具有同等法律效力；本合同未尽事宜，双方另行协商并签署补充合同，作为本合同的附件，具有同等法律效力。</w:t>
      </w:r>
    </w:p>
    <w:p w14:paraId="5CEC831B">
      <w:pPr>
        <w:rPr>
          <w:rFonts w:hint="eastAsia" w:ascii="仿宋" w:hAnsi="仿宋" w:eastAsia="仿宋" w:cs="仿宋"/>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7531B">
    <w:pPr>
      <w:spacing w:line="172" w:lineRule="auto"/>
      <w:ind w:left="4408"/>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D160E8"/>
    <w:rsid w:val="28D160E8"/>
    <w:rsid w:val="2C0F18B1"/>
    <w:rsid w:val="39FB4526"/>
    <w:rsid w:val="76545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3232</Words>
  <Characters>3368</Characters>
  <Lines>0</Lines>
  <Paragraphs>0</Paragraphs>
  <TotalTime>2</TotalTime>
  <ScaleCrop>false</ScaleCrop>
  <LinksUpToDate>false</LinksUpToDate>
  <CharactersWithSpaces>3557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2026-05-12T02:31:00Z</dcterms:created>
  <dc:creator>Fernweh</dc:creator>
  <cp:lastModifiedBy>开心聪father</cp:lastModifiedBy>
  <dcterms:modified xsi:type="dcterms:W3CDTF">2026-06-22T02:39:44Z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8B294D8BCE8A4E379D63773386050FC5_13</vt:lpwstr>
  </property>
  <property fmtid="{D5CDD505-2E9C-101B-9397-08002B2CF9AE}" pid="4" name="KSOTemplateDocerSaveRecord">
    <vt:lpwstr>eyJoZGlkIjoiNDA1ZjEwOTFmNGExMmNlNTk1Y2VlMzljYTdjMDg4YmMiLCJ1c2VySWQiOiIzOTE4MjQzNDgifQ==</vt:lpwstr>
  </property>
</Properties>
</file>