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AAC6A">
      <w:pPr>
        <w:pStyle w:val="10"/>
        <w:rPr>
          <w:rFonts w:hint="eastAsia" w:ascii="仿宋" w:hAnsi="仿宋" w:eastAsia="仿宋" w:cs="仿宋"/>
          <w:color w:val="auto"/>
          <w:highlight w:val="none"/>
        </w:rPr>
      </w:pPr>
    </w:p>
    <w:p w14:paraId="674F6802">
      <w:pPr>
        <w:pStyle w:val="10"/>
        <w:rPr>
          <w:rFonts w:hint="eastAsia" w:ascii="仿宋" w:hAnsi="仿宋" w:eastAsia="仿宋" w:cs="仿宋"/>
          <w:color w:val="auto"/>
          <w:sz w:val="24"/>
          <w:szCs w:val="24"/>
          <w:highlight w:val="none"/>
        </w:rPr>
      </w:pPr>
    </w:p>
    <w:p w14:paraId="504F5CE4">
      <w:pPr>
        <w:pStyle w:val="1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 xml:space="preserve"> </w:t>
      </w:r>
    </w:p>
    <w:p w14:paraId="1D577663">
      <w:pPr>
        <w:pStyle w:val="3"/>
        <w:spacing w:line="360" w:lineRule="auto"/>
        <w:rPr>
          <w:rFonts w:hint="eastAsia" w:ascii="仿宋" w:hAnsi="仿宋" w:eastAsia="仿宋" w:cs="仿宋"/>
          <w:color w:val="auto"/>
          <w:highlight w:val="none"/>
          <w:lang w:val="en-US" w:eastAsia="zh-CN"/>
        </w:rPr>
      </w:pPr>
    </w:p>
    <w:p w14:paraId="7BB3AF50">
      <w:pPr>
        <w:widowControl w:val="0"/>
        <w:spacing w:line="360" w:lineRule="auto"/>
        <w:ind w:left="0" w:leftChars="0" w:firstLine="0" w:firstLineChars="0"/>
        <w:jc w:val="both"/>
        <w:rPr>
          <w:rFonts w:hint="eastAsia" w:ascii="仿宋" w:hAnsi="仿宋" w:eastAsia="仿宋" w:cs="仿宋"/>
          <w:b/>
          <w:bCs/>
          <w:color w:val="auto"/>
          <w:sz w:val="28"/>
          <w:szCs w:val="28"/>
          <w:highlight w:val="none"/>
          <w:lang w:val="en-US" w:eastAsia="zh-CN" w:bidi="ar-SA"/>
        </w:rPr>
      </w:pPr>
      <w:r>
        <w:rPr>
          <w:rFonts w:hint="eastAsia" w:ascii="仿宋" w:hAnsi="仿宋" w:eastAsia="仿宋" w:cs="仿宋"/>
          <w:b/>
          <w:bCs/>
          <w:color w:val="auto"/>
          <w:sz w:val="28"/>
          <w:szCs w:val="28"/>
          <w:highlight w:val="none"/>
          <w:lang w:val="en-US" w:eastAsia="zh-CN" w:bidi="ar-SA"/>
        </w:rPr>
        <w:t>合同编号:</w:t>
      </w:r>
    </w:p>
    <w:p w14:paraId="2526346C">
      <w:pPr>
        <w:pStyle w:val="6"/>
        <w:rPr>
          <w:rFonts w:hint="eastAsia" w:ascii="仿宋" w:hAnsi="仿宋" w:eastAsia="仿宋" w:cs="仿宋"/>
          <w:color w:val="auto"/>
          <w:highlight w:val="none"/>
          <w:lang w:val="en-US" w:eastAsia="zh-CN"/>
        </w:rPr>
      </w:pPr>
    </w:p>
    <w:p w14:paraId="7D6BAE3A">
      <w:pPr>
        <w:widowControl w:val="0"/>
        <w:ind w:left="0" w:leftChars="0" w:firstLine="0" w:firstLineChars="0"/>
        <w:jc w:val="both"/>
        <w:rPr>
          <w:rFonts w:hint="eastAsia" w:ascii="仿宋" w:hAnsi="仿宋" w:eastAsia="仿宋" w:cs="仿宋"/>
          <w:color w:val="auto"/>
          <w:sz w:val="28"/>
          <w:szCs w:val="28"/>
          <w:highlight w:val="none"/>
          <w:lang w:val="en-US" w:eastAsia="zh-CN" w:bidi="ar-SA"/>
        </w:rPr>
      </w:pPr>
    </w:p>
    <w:p w14:paraId="19528A67">
      <w:pPr>
        <w:jc w:val="center"/>
        <w:rPr>
          <w:rFonts w:hint="eastAsia" w:ascii="仿宋" w:hAnsi="仿宋" w:eastAsia="仿宋" w:cs="仿宋"/>
          <w:b/>
          <w:bCs w:val="0"/>
          <w:color w:val="auto"/>
          <w:kern w:val="0"/>
          <w:sz w:val="44"/>
          <w:szCs w:val="44"/>
          <w:highlight w:val="none"/>
          <w:lang w:val="en-US" w:eastAsia="zh-CN" w:bidi="ar-SA"/>
        </w:rPr>
      </w:pPr>
      <w:r>
        <w:rPr>
          <w:rFonts w:hint="eastAsia" w:ascii="仿宋" w:hAnsi="仿宋" w:eastAsia="仿宋" w:cs="仿宋"/>
          <w:b/>
          <w:bCs w:val="0"/>
          <w:color w:val="auto"/>
          <w:kern w:val="0"/>
          <w:sz w:val="44"/>
          <w:szCs w:val="44"/>
          <w:highlight w:val="none"/>
          <w:lang w:val="en-US" w:eastAsia="zh-CN" w:bidi="ar-SA"/>
        </w:rPr>
        <w:t>西安市第七十六中学危楼加固、厕所改造、教育内刷新等项目</w:t>
      </w:r>
    </w:p>
    <w:p w14:paraId="02182879">
      <w:pPr>
        <w:pStyle w:val="2"/>
        <w:jc w:val="center"/>
        <w:rPr>
          <w:rFonts w:hint="eastAsia" w:ascii="仿宋" w:hAnsi="仿宋" w:eastAsia="仿宋" w:cs="仿宋"/>
          <w:b/>
          <w:bCs w:val="0"/>
          <w:color w:val="auto"/>
          <w:kern w:val="0"/>
          <w:sz w:val="44"/>
          <w:szCs w:val="44"/>
          <w:highlight w:val="none"/>
          <w:lang w:val="en-US" w:eastAsia="zh-CN"/>
        </w:rPr>
      </w:pPr>
    </w:p>
    <w:p w14:paraId="337088FB">
      <w:pPr>
        <w:pStyle w:val="2"/>
        <w:jc w:val="center"/>
        <w:rPr>
          <w:rFonts w:hint="eastAsia" w:ascii="仿宋" w:hAnsi="仿宋" w:eastAsia="仿宋" w:cs="仿宋"/>
          <w:b/>
          <w:bCs w:val="0"/>
          <w:color w:val="auto"/>
          <w:kern w:val="0"/>
          <w:sz w:val="44"/>
          <w:szCs w:val="44"/>
          <w:highlight w:val="none"/>
          <w:lang w:val="en-US" w:eastAsia="zh-CN"/>
        </w:rPr>
      </w:pPr>
      <w:r>
        <w:rPr>
          <w:rFonts w:hint="eastAsia" w:ascii="仿宋" w:hAnsi="仿宋" w:eastAsia="仿宋" w:cs="仿宋"/>
          <w:b/>
          <w:bCs w:val="0"/>
          <w:color w:val="auto"/>
          <w:kern w:val="0"/>
          <w:sz w:val="44"/>
          <w:szCs w:val="44"/>
          <w:highlight w:val="none"/>
          <w:lang w:val="en-US" w:eastAsia="zh-CN"/>
        </w:rPr>
        <w:t>（示范文本）</w:t>
      </w:r>
    </w:p>
    <w:p w14:paraId="35779BB4">
      <w:pPr>
        <w:widowControl w:val="0"/>
        <w:ind w:left="0" w:leftChars="0" w:firstLine="0" w:firstLineChars="0"/>
        <w:jc w:val="both"/>
        <w:rPr>
          <w:rFonts w:hint="eastAsia" w:ascii="仿宋" w:hAnsi="仿宋" w:eastAsia="仿宋" w:cs="仿宋"/>
          <w:color w:val="auto"/>
          <w:sz w:val="28"/>
          <w:szCs w:val="28"/>
          <w:highlight w:val="none"/>
          <w:lang w:val="en-US" w:eastAsia="zh-CN" w:bidi="ar-SA"/>
        </w:rPr>
      </w:pPr>
    </w:p>
    <w:p w14:paraId="76565FD6">
      <w:pPr>
        <w:pStyle w:val="6"/>
        <w:rPr>
          <w:rFonts w:hint="eastAsia" w:ascii="仿宋" w:hAnsi="仿宋" w:eastAsia="仿宋" w:cs="仿宋"/>
          <w:color w:val="auto"/>
          <w:highlight w:val="none"/>
          <w:lang w:val="en-US" w:eastAsia="zh-CN"/>
        </w:rPr>
      </w:pPr>
    </w:p>
    <w:p w14:paraId="44B54605">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采购人(甲方) :                              </w:t>
      </w:r>
    </w:p>
    <w:p w14:paraId="0642F144">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供应商(乙方) :                              </w:t>
      </w:r>
    </w:p>
    <w:p w14:paraId="2805AC55">
      <w:pPr>
        <w:pStyle w:val="6"/>
        <w:ind w:left="0" w:leftChars="0" w:firstLine="0" w:firstLineChars="0"/>
        <w:rPr>
          <w:rFonts w:hint="eastAsia" w:ascii="仿宋" w:hAnsi="仿宋" w:eastAsia="仿宋" w:cs="仿宋"/>
          <w:color w:val="auto"/>
          <w:highlight w:val="none"/>
        </w:rPr>
      </w:pPr>
    </w:p>
    <w:p w14:paraId="0ADD2478">
      <w:pPr>
        <w:pStyle w:val="7"/>
        <w:ind w:left="294" w:leftChars="0" w:hanging="294" w:hangingChars="105"/>
        <w:rPr>
          <w:rFonts w:hint="eastAsia"/>
          <w:color w:val="auto"/>
          <w:highlight w:val="none"/>
        </w:rPr>
      </w:pPr>
    </w:p>
    <w:p w14:paraId="6D4535A0">
      <w:pPr>
        <w:pStyle w:val="7"/>
        <w:ind w:left="294" w:leftChars="0" w:hanging="294" w:hangingChars="105"/>
        <w:rPr>
          <w:rFonts w:hint="eastAsia"/>
          <w:color w:val="auto"/>
          <w:highlight w:val="none"/>
        </w:rPr>
      </w:pPr>
    </w:p>
    <w:p w14:paraId="315BFE3B">
      <w:pPr>
        <w:bidi w:val="0"/>
        <w:rPr>
          <w:rFonts w:hint="eastAsia" w:ascii="仿宋" w:hAnsi="仿宋" w:eastAsia="仿宋" w:cs="仿宋"/>
          <w:color w:val="auto"/>
          <w:sz w:val="24"/>
          <w:highlight w:val="none"/>
        </w:rPr>
      </w:pPr>
    </w:p>
    <w:p w14:paraId="0971926C">
      <w:pPr>
        <w:bidi w:val="0"/>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合同编号：</w:t>
      </w:r>
      <w:r>
        <w:rPr>
          <w:rFonts w:hint="eastAsia" w:ascii="仿宋" w:hAnsi="仿宋" w:eastAsia="仿宋" w:cs="仿宋"/>
          <w:color w:val="auto"/>
          <w:sz w:val="24"/>
          <w:highlight w:val="none"/>
          <w:u w:val="single"/>
          <w:lang w:val="en-US" w:eastAsia="zh-CN"/>
        </w:rPr>
        <w:t xml:space="preserve">                                             </w:t>
      </w:r>
    </w:p>
    <w:p w14:paraId="1631FDB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签订地点：</w:t>
      </w:r>
      <w:r>
        <w:rPr>
          <w:rFonts w:hint="eastAsia" w:ascii="仿宋" w:hAnsi="仿宋" w:eastAsia="仿宋" w:cs="仿宋"/>
          <w:color w:val="auto"/>
          <w:sz w:val="24"/>
          <w:highlight w:val="none"/>
          <w:u w:val="single"/>
        </w:rPr>
        <w:t xml:space="preserve">                                             </w:t>
      </w:r>
    </w:p>
    <w:p w14:paraId="4DBBE551">
      <w:pPr>
        <w:numPr>
          <w:ilvl w:val="0"/>
          <w:numId w:val="0"/>
        </w:numPr>
        <w:ind w:firstLine="480" w:firstLineChars="20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签订时间：</w:t>
      </w:r>
      <w:r>
        <w:rPr>
          <w:rFonts w:hint="eastAsia" w:ascii="仿宋" w:hAnsi="仿宋" w:eastAsia="仿宋" w:cs="仿宋"/>
          <w:color w:val="auto"/>
          <w:sz w:val="24"/>
          <w:highlight w:val="none"/>
          <w:u w:val="single"/>
        </w:rPr>
        <w:t xml:space="preserve">                                             </w:t>
      </w:r>
    </w:p>
    <w:p w14:paraId="0E6B7A73">
      <w:pP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br w:type="page"/>
      </w:r>
    </w:p>
    <w:p w14:paraId="75FCADCF">
      <w:pPr>
        <w:numPr>
          <w:ilvl w:val="0"/>
          <w:numId w:val="0"/>
        </w:numPr>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拟签订采购合同文本</w:t>
      </w:r>
    </w:p>
    <w:p w14:paraId="473B7682">
      <w:pPr>
        <w:numPr>
          <w:ilvl w:val="0"/>
          <w:numId w:val="0"/>
        </w:numPr>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本合同为中小企业预留合同</w:t>
      </w:r>
      <w:r>
        <w:rPr>
          <w:rFonts w:hint="eastAsia" w:ascii="仿宋" w:hAnsi="仿宋" w:eastAsia="仿宋" w:cs="仿宋"/>
          <w:color w:val="auto"/>
          <w:highlight w:val="none"/>
          <w:lang w:eastAsia="zh-CN"/>
        </w:rPr>
        <w:t>）</w:t>
      </w:r>
    </w:p>
    <w:p w14:paraId="7A08F906">
      <w:pPr>
        <w:autoSpaceDE w:val="0"/>
        <w:autoSpaceDN w:val="0"/>
        <w:adjustRightInd w:val="0"/>
        <w:spacing w:line="360" w:lineRule="auto"/>
        <w:ind w:firstLine="480" w:firstLineChars="200"/>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甲方（采购人）：</w:t>
      </w:r>
      <w:r>
        <w:rPr>
          <w:rFonts w:hint="eastAsia" w:ascii="仿宋" w:hAnsi="仿宋" w:eastAsia="仿宋" w:cs="仿宋"/>
          <w:bCs/>
          <w:color w:val="auto"/>
          <w:sz w:val="24"/>
          <w:szCs w:val="24"/>
          <w:highlight w:val="none"/>
          <w:u w:val="single"/>
          <w:lang w:eastAsia="zh-CN"/>
        </w:rPr>
        <w:t>西安市第七十六中学</w:t>
      </w:r>
      <w:r>
        <w:rPr>
          <w:rFonts w:hint="eastAsia" w:ascii="仿宋" w:hAnsi="仿宋" w:eastAsia="仿宋" w:cs="仿宋"/>
          <w:bCs/>
          <w:color w:val="auto"/>
          <w:sz w:val="24"/>
          <w:szCs w:val="24"/>
          <w:highlight w:val="none"/>
          <w:u w:val="single"/>
          <w:lang w:val="en-US" w:eastAsia="zh-CN"/>
        </w:rPr>
        <w:t xml:space="preserve">    </w:t>
      </w:r>
    </w:p>
    <w:p w14:paraId="703B22DF">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 xml:space="preserve"> </w:t>
      </w:r>
    </w:p>
    <w:p w14:paraId="32174277">
      <w:pPr>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val="en-US" w:eastAsia="zh-CN"/>
        </w:rPr>
        <w:t>西安市第七十六中学危楼加固、厕所改造、教育内刷新等项目</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u w:val="single"/>
          <w:lang w:eastAsia="zh-CN"/>
        </w:rPr>
        <w:t>陕西泽航项目管理有限公司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eastAsia="zh-CN"/>
        </w:rPr>
        <w:t>西安市第七十六中学</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供应商名称       </w:t>
      </w:r>
      <w:r>
        <w:rPr>
          <w:rFonts w:hint="eastAsia" w:ascii="仿宋" w:hAnsi="仿宋" w:eastAsia="仿宋" w:cs="仿宋"/>
          <w:bCs/>
          <w:color w:val="auto"/>
          <w:sz w:val="24"/>
          <w:szCs w:val="24"/>
          <w:highlight w:val="none"/>
        </w:rPr>
        <w:t>（以下简称“乙方”）为的</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p>
    <w:p w14:paraId="42CB3E3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4579A524">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238302E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5CECF5E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，不受市场价变化的影响。合同价格为含税价。</w:t>
      </w:r>
    </w:p>
    <w:p w14:paraId="45AB3B7E">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en-US" w:eastAsia="zh-CN"/>
        </w:rPr>
        <w:t>付款</w:t>
      </w:r>
      <w:r>
        <w:rPr>
          <w:rFonts w:hint="eastAsia" w:ascii="仿宋" w:hAnsi="仿宋" w:eastAsia="仿宋" w:cs="仿宋"/>
          <w:b/>
          <w:color w:val="auto"/>
          <w:sz w:val="24"/>
          <w:szCs w:val="24"/>
          <w:highlight w:val="none"/>
        </w:rPr>
        <w:t>方式</w:t>
      </w:r>
    </w:p>
    <w:p w14:paraId="40AC7DAD">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1、合同签订后，达到付款条件起30 日内，支付合同总金额的40.00%。</w:t>
      </w:r>
    </w:p>
    <w:p w14:paraId="2C0F0AA3">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2、完工验收合格后，达到付款条件起30 日内，支付合同总金额的20.00%.</w:t>
      </w:r>
    </w:p>
    <w:p w14:paraId="757053EA">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3、提交财政部门结算评审后，达到付款条件起30日内，按照评审金额支付剩余工程款。</w:t>
      </w:r>
    </w:p>
    <w:p w14:paraId="65966176">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44B1232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32FC1A9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default"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78F14ED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（三）缺陷责任期：自本项目竣工验收合格之日起一年。</w:t>
      </w:r>
    </w:p>
    <w:p w14:paraId="78C2BD8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（四）工程内容：详见工程量清单。</w:t>
      </w:r>
    </w:p>
    <w:p w14:paraId="37A7CD1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（五）工程承包范围：工程量清单、答疑以及本磋商文件规定的全部内容。文字与清单不符时，以清单为准。</w:t>
      </w:r>
    </w:p>
    <w:p w14:paraId="435B8BE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（六）质量标准：符合国家现行有关施工质量验收规范“合格”要求。</w:t>
      </w:r>
    </w:p>
    <w:p w14:paraId="1D7DBF6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color w:val="auto"/>
          <w:highlight w:val="none"/>
          <w:lang w:val="en-US" w:eastAsia="zh-CN"/>
        </w:rPr>
      </w:pPr>
      <w:r>
        <w:rPr>
          <w:rFonts w:hint="eastAsia" w:ascii="仿宋" w:hAnsi="仿宋" w:eastAsia="仿宋" w:cs="仿宋"/>
          <w:bCs/>
          <w:color w:val="auto"/>
          <w:sz w:val="24"/>
          <w:szCs w:val="24"/>
          <w:highlight w:val="none"/>
          <w:lang w:val="en-US" w:eastAsia="zh-CN"/>
        </w:rPr>
        <w:t>（七）本工程质量保修期为两年，质保期内所发生的的修复费用，均由乙方承担。</w:t>
      </w:r>
    </w:p>
    <w:p w14:paraId="3F1B676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（八）项目经理姓名：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；注册证号：</w:t>
      </w:r>
      <w:r>
        <w:rPr>
          <w:rFonts w:hint="eastAsia" w:ascii="仿宋" w:hAnsi="仿宋" w:eastAsia="仿宋" w:cs="仿宋"/>
          <w:bCs/>
          <w:color w:val="auto"/>
          <w:sz w:val="24"/>
          <w:szCs w:val="24"/>
          <w:highlight w:val="none"/>
          <w:u w:val="single"/>
          <w:lang w:val="en-US" w:eastAsia="zh-CN"/>
        </w:rPr>
        <w:t xml:space="preserve">       </w:t>
      </w:r>
      <w:r>
        <w:rPr>
          <w:rFonts w:hint="eastAsia" w:ascii="仿宋" w:hAnsi="仿宋" w:eastAsia="仿宋" w:cs="仿宋"/>
          <w:bCs/>
          <w:color w:val="auto"/>
          <w:sz w:val="24"/>
          <w:szCs w:val="24"/>
          <w:highlight w:val="none"/>
          <w:lang w:val="en-US" w:eastAsia="zh-CN"/>
        </w:rPr>
        <w:t>。</w:t>
      </w:r>
    </w:p>
    <w:p w14:paraId="708C7F4B">
      <w:pPr>
        <w:pStyle w:val="7"/>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5D19F24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470D693E">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1AF7B944">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613C6800">
      <w:pPr>
        <w:spacing w:line="36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5E0DD384">
      <w:pP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3BF50B1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51A5C8E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2、组织设计、设计变更，工程结算等工作。</w:t>
      </w:r>
    </w:p>
    <w:p w14:paraId="049DFB8E">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5254146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8EB7B34">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5C1663B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5BDB06F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0FE4A7F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33329C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1619B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C0B836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7EEE0501">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1408242B">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1330EE0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1F7FD2E0">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47A1257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2768DB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1609B63E">
      <w:pPr>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5CD11427">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7CC7C2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661A76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10A61BE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7A0DADE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6D3A7E8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p>
    <w:p w14:paraId="77F4991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技术标准和要求</w:t>
      </w:r>
    </w:p>
    <w:p w14:paraId="509737B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已标价工程量清单或预算书</w:t>
      </w:r>
    </w:p>
    <w:p w14:paraId="407EF5D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其他合同文件。</w:t>
      </w:r>
    </w:p>
    <w:p w14:paraId="5F6BC8A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2D8AAEE">
      <w:pPr>
        <w:autoSpaceDE w:val="0"/>
        <w:autoSpaceDN w:val="0"/>
        <w:adjustRightInd w:val="0"/>
        <w:spacing w:line="36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4FCA3C12">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574ECC3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7E3F828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1FD9BBF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465AC1B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39570F5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FBE6CF1">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63BF54C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7CC8964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04D13C2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3B7B32B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2266E14F">
      <w:pPr>
        <w:tabs>
          <w:tab w:val="left" w:pos="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肆</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贰</w:t>
      </w:r>
      <w:r>
        <w:rPr>
          <w:rFonts w:hint="eastAsia" w:ascii="仿宋" w:hAnsi="仿宋" w:eastAsia="仿宋" w:cs="仿宋"/>
          <w:color w:val="auto"/>
          <w:sz w:val="24"/>
          <w:szCs w:val="24"/>
          <w:highlight w:val="none"/>
        </w:rPr>
        <w:t>份。</w:t>
      </w:r>
    </w:p>
    <w:p w14:paraId="602BB07B">
      <w:pPr>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8"/>
        <w:tblW w:w="8403" w:type="dxa"/>
        <w:jc w:val="center"/>
        <w:tblLayout w:type="fixed"/>
        <w:tblCellMar>
          <w:top w:w="0" w:type="dxa"/>
          <w:left w:w="108" w:type="dxa"/>
          <w:bottom w:w="0" w:type="dxa"/>
          <w:right w:w="108" w:type="dxa"/>
        </w:tblCellMar>
      </w:tblPr>
      <w:tblGrid>
        <w:gridCol w:w="4201"/>
        <w:gridCol w:w="4202"/>
      </w:tblGrid>
      <w:tr w14:paraId="476FF227">
        <w:tblPrEx>
          <w:tblCellMar>
            <w:top w:w="0" w:type="dxa"/>
            <w:left w:w="108" w:type="dxa"/>
            <w:bottom w:w="0" w:type="dxa"/>
            <w:right w:w="108" w:type="dxa"/>
          </w:tblCellMar>
        </w:tblPrEx>
        <w:trPr>
          <w:trHeight w:val="567" w:hRule="exact"/>
          <w:jc w:val="center"/>
        </w:trPr>
        <w:tc>
          <w:tcPr>
            <w:tcW w:w="4201" w:type="dxa"/>
            <w:noWrap/>
            <w:vAlign w:val="center"/>
          </w:tcPr>
          <w:p w14:paraId="6EA19CA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02" w:type="dxa"/>
            <w:noWrap/>
            <w:vAlign w:val="center"/>
          </w:tcPr>
          <w:p w14:paraId="29CC40F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2CCBDA6A">
        <w:tblPrEx>
          <w:tblCellMar>
            <w:top w:w="0" w:type="dxa"/>
            <w:left w:w="108" w:type="dxa"/>
            <w:bottom w:w="0" w:type="dxa"/>
            <w:right w:w="108" w:type="dxa"/>
          </w:tblCellMar>
        </w:tblPrEx>
        <w:trPr>
          <w:trHeight w:val="567" w:hRule="exact"/>
          <w:jc w:val="center"/>
        </w:trPr>
        <w:tc>
          <w:tcPr>
            <w:tcW w:w="4201" w:type="dxa"/>
            <w:noWrap/>
            <w:vAlign w:val="center"/>
          </w:tcPr>
          <w:p w14:paraId="209C88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492DFABB">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127279CD">
        <w:tblPrEx>
          <w:tblCellMar>
            <w:top w:w="0" w:type="dxa"/>
            <w:left w:w="108" w:type="dxa"/>
            <w:bottom w:w="0" w:type="dxa"/>
            <w:right w:w="108" w:type="dxa"/>
          </w:tblCellMar>
        </w:tblPrEx>
        <w:trPr>
          <w:trHeight w:val="567" w:hRule="exact"/>
          <w:jc w:val="center"/>
        </w:trPr>
        <w:tc>
          <w:tcPr>
            <w:tcW w:w="4201" w:type="dxa"/>
            <w:noWrap/>
            <w:vAlign w:val="center"/>
          </w:tcPr>
          <w:p w14:paraId="65C7B48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02" w:type="dxa"/>
            <w:noWrap/>
            <w:vAlign w:val="center"/>
          </w:tcPr>
          <w:p w14:paraId="789FFEB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6F517C5F">
        <w:tblPrEx>
          <w:tblCellMar>
            <w:top w:w="0" w:type="dxa"/>
            <w:left w:w="108" w:type="dxa"/>
            <w:bottom w:w="0" w:type="dxa"/>
            <w:right w:w="108" w:type="dxa"/>
          </w:tblCellMar>
        </w:tblPrEx>
        <w:trPr>
          <w:trHeight w:val="567" w:hRule="exact"/>
          <w:jc w:val="center"/>
        </w:trPr>
        <w:tc>
          <w:tcPr>
            <w:tcW w:w="4201" w:type="dxa"/>
            <w:noWrap/>
            <w:vAlign w:val="center"/>
          </w:tcPr>
          <w:p w14:paraId="1D696CBD">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1659783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38B22C2B">
        <w:tblPrEx>
          <w:tblCellMar>
            <w:top w:w="0" w:type="dxa"/>
            <w:left w:w="108" w:type="dxa"/>
            <w:bottom w:w="0" w:type="dxa"/>
            <w:right w:w="108" w:type="dxa"/>
          </w:tblCellMar>
        </w:tblPrEx>
        <w:trPr>
          <w:trHeight w:val="567" w:hRule="exact"/>
          <w:jc w:val="center"/>
        </w:trPr>
        <w:tc>
          <w:tcPr>
            <w:tcW w:w="4201" w:type="dxa"/>
            <w:noWrap/>
            <w:vAlign w:val="center"/>
          </w:tcPr>
          <w:p w14:paraId="0E3191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 xml:space="preserve">被授权代表： </w:t>
            </w:r>
          </w:p>
        </w:tc>
        <w:tc>
          <w:tcPr>
            <w:tcW w:w="4202" w:type="dxa"/>
            <w:noWrap/>
            <w:vAlign w:val="center"/>
          </w:tcPr>
          <w:p w14:paraId="586A4FB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r>
      <w:tr w14:paraId="24DE0148">
        <w:tblPrEx>
          <w:tblCellMar>
            <w:top w:w="0" w:type="dxa"/>
            <w:left w:w="108" w:type="dxa"/>
            <w:bottom w:w="0" w:type="dxa"/>
            <w:right w:w="108" w:type="dxa"/>
          </w:tblCellMar>
        </w:tblPrEx>
        <w:trPr>
          <w:trHeight w:val="567" w:hRule="exact"/>
          <w:jc w:val="center"/>
        </w:trPr>
        <w:tc>
          <w:tcPr>
            <w:tcW w:w="4201" w:type="dxa"/>
            <w:noWrap/>
            <w:vAlign w:val="center"/>
          </w:tcPr>
          <w:p w14:paraId="1D737D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75C3D45D">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B04A0D0">
        <w:tblPrEx>
          <w:tblCellMar>
            <w:top w:w="0" w:type="dxa"/>
            <w:left w:w="108" w:type="dxa"/>
            <w:bottom w:w="0" w:type="dxa"/>
            <w:right w:w="108" w:type="dxa"/>
          </w:tblCellMar>
        </w:tblPrEx>
        <w:trPr>
          <w:trHeight w:val="567" w:hRule="exact"/>
          <w:jc w:val="center"/>
        </w:trPr>
        <w:tc>
          <w:tcPr>
            <w:tcW w:w="4201" w:type="dxa"/>
            <w:noWrap/>
            <w:vAlign w:val="center"/>
          </w:tcPr>
          <w:p w14:paraId="275486E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57775C5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28B1DD23">
        <w:tblPrEx>
          <w:tblCellMar>
            <w:top w:w="0" w:type="dxa"/>
            <w:left w:w="108" w:type="dxa"/>
            <w:bottom w:w="0" w:type="dxa"/>
            <w:right w:w="108" w:type="dxa"/>
          </w:tblCellMar>
        </w:tblPrEx>
        <w:trPr>
          <w:trHeight w:val="567" w:hRule="exact"/>
          <w:jc w:val="center"/>
        </w:trPr>
        <w:tc>
          <w:tcPr>
            <w:tcW w:w="4201" w:type="dxa"/>
            <w:noWrap/>
            <w:vAlign w:val="center"/>
          </w:tcPr>
          <w:p w14:paraId="1AA5D7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1D03134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65BCAC9E">
        <w:tblPrEx>
          <w:tblCellMar>
            <w:top w:w="0" w:type="dxa"/>
            <w:left w:w="108" w:type="dxa"/>
            <w:bottom w:w="0" w:type="dxa"/>
            <w:right w:w="108" w:type="dxa"/>
          </w:tblCellMar>
        </w:tblPrEx>
        <w:trPr>
          <w:trHeight w:val="567" w:hRule="exact"/>
          <w:jc w:val="center"/>
        </w:trPr>
        <w:tc>
          <w:tcPr>
            <w:tcW w:w="4201" w:type="dxa"/>
            <w:noWrap/>
            <w:vAlign w:val="center"/>
          </w:tcPr>
          <w:p w14:paraId="76C4979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ign w:val="center"/>
          </w:tcPr>
          <w:p w14:paraId="474D746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3E0DB32E">
      <w:pPr>
        <w:pStyle w:val="5"/>
        <w:rPr>
          <w:rFonts w:hint="eastAsia"/>
          <w:color w:val="auto"/>
          <w:highlight w:val="none"/>
        </w:rPr>
      </w:pPr>
    </w:p>
    <w:p w14:paraId="2C85DDEA">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6F2D00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0" w:name="_Toc296346727"/>
      <w:bookmarkStart w:id="1" w:name="_Toc296891266"/>
      <w:bookmarkStart w:id="2" w:name="_Toc296891054"/>
      <w:bookmarkStart w:id="3" w:name="_Toc267261693"/>
      <w:bookmarkStart w:id="4" w:name="_Toc296503226"/>
      <w:bookmarkStart w:id="5" w:name="_Toc296347225"/>
      <w:bookmarkStart w:id="6" w:name="_Toc296944565"/>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bookmarkEnd w:id="0"/>
      <w:bookmarkEnd w:id="1"/>
      <w:bookmarkEnd w:id="2"/>
      <w:bookmarkEnd w:id="3"/>
      <w:bookmarkEnd w:id="4"/>
      <w:bookmarkEnd w:id="5"/>
      <w:bookmarkEnd w:id="6"/>
      <w:r>
        <w:rPr>
          <w:rFonts w:hint="eastAsia" w:ascii="仿宋" w:hAnsi="仿宋" w:eastAsia="仿宋" w:cs="仿宋"/>
          <w:color w:val="auto"/>
          <w:sz w:val="24"/>
          <w:szCs w:val="24"/>
          <w:highlight w:val="none"/>
        </w:rPr>
        <w:t xml:space="preserve">    </w:t>
      </w:r>
    </w:p>
    <w:p w14:paraId="0DD9A668">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工程质量保修书</w:t>
      </w:r>
    </w:p>
    <w:p w14:paraId="5EAC2D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w:t>
      </w:r>
      <w:r>
        <w:rPr>
          <w:rFonts w:hint="eastAsia" w:ascii="仿宋" w:hAnsi="仿宋" w:eastAsia="仿宋" w:cs="仿宋"/>
          <w:bCs/>
          <w:color w:val="auto"/>
          <w:sz w:val="24"/>
          <w:szCs w:val="24"/>
          <w:highlight w:val="none"/>
        </w:rPr>
        <w:t>采购人</w:t>
      </w:r>
      <w:r>
        <w:rPr>
          <w:rFonts w:hint="eastAsia" w:ascii="仿宋" w:hAnsi="仿宋" w:eastAsia="仿宋" w:cs="仿宋"/>
          <w:color w:val="auto"/>
          <w:sz w:val="24"/>
          <w:szCs w:val="24"/>
          <w:highlight w:val="none"/>
        </w:rPr>
        <w:t xml:space="preserve">）： </w:t>
      </w:r>
      <w:r>
        <w:rPr>
          <w:rFonts w:hint="eastAsia" w:ascii="仿宋" w:hAnsi="仿宋" w:eastAsia="仿宋" w:cs="仿宋"/>
          <w:bCs/>
          <w:color w:val="auto"/>
          <w:sz w:val="24"/>
          <w:szCs w:val="24"/>
          <w:highlight w:val="none"/>
          <w:u w:val="single"/>
          <w:lang w:eastAsia="zh-CN"/>
        </w:rPr>
        <w:t>西安市第七十六中学</w:t>
      </w:r>
    </w:p>
    <w:p w14:paraId="16D62DBF">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33ECB6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p>
    <w:p w14:paraId="39863E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（西安市第七十六中学</w:t>
      </w:r>
      <w:r>
        <w:rPr>
          <w:rFonts w:hint="eastAsia" w:ascii="仿宋" w:hAnsi="仿宋" w:eastAsia="仿宋" w:cs="仿宋"/>
          <w:bCs/>
          <w:color w:val="auto"/>
          <w:sz w:val="24"/>
          <w:szCs w:val="24"/>
          <w:highlight w:val="none"/>
          <w:u w:val="single"/>
          <w:lang w:val="en-US" w:eastAsia="zh-CN"/>
        </w:rPr>
        <w:t>危楼加固、厕所改造、教育内刷新等项目</w:t>
      </w:r>
      <w:r>
        <w:rPr>
          <w:rFonts w:hint="eastAsia" w:ascii="仿宋" w:hAnsi="仿宋" w:eastAsia="仿宋" w:cs="仿宋"/>
          <w:color w:val="auto"/>
          <w:sz w:val="24"/>
          <w:szCs w:val="24"/>
          <w:highlight w:val="none"/>
        </w:rPr>
        <w:t>）签订工程质量保修书。</w:t>
      </w:r>
    </w:p>
    <w:p w14:paraId="6DFFCA0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一、工程质量保修范围和内容</w:t>
      </w:r>
    </w:p>
    <w:p w14:paraId="31B8FB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承包人在质量保修期内，按照有关法律规定和合同约定，承担工程质量保修责任。</w:t>
      </w:r>
    </w:p>
    <w:p w14:paraId="3CDAB9A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AA1C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5793E0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w:t>
      </w:r>
      <w:r>
        <w:rPr>
          <w:rFonts w:hint="eastAsia" w:ascii="仿宋" w:hAnsi="仿宋" w:eastAsia="仿宋" w:cs="仿宋"/>
          <w:color w:val="auto"/>
          <w:sz w:val="24"/>
          <w:szCs w:val="24"/>
          <w:highlight w:val="none"/>
        </w:rPr>
        <w:t>二、质量保修期</w:t>
      </w:r>
    </w:p>
    <w:p w14:paraId="26AD1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56A34E5D">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163662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58751D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7F0DA7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069855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个采暖期、供冷期；</w:t>
      </w:r>
    </w:p>
    <w:p w14:paraId="4BC7A3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56B83A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p>
    <w:p w14:paraId="17C8544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76E81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质量保修期自工程竣工验收合格之日起计算。</w:t>
      </w:r>
    </w:p>
    <w:p w14:paraId="7316D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p>
    <w:p w14:paraId="6A8D0D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lang w:val="en-US" w:eastAsia="zh-CN"/>
        </w:rPr>
        <w:t>12</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14:paraId="15781BD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四、质量保修责任</w:t>
      </w:r>
    </w:p>
    <w:p w14:paraId="6F4FBFE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4E5D442A">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2．发生紧急事故需抢修的，承包人在接到事故通知后，应当立即到达事故现场抢修。</w:t>
      </w:r>
    </w:p>
    <w:p w14:paraId="554F49D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51302D">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5FE8B6C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五、保修费用</w:t>
      </w:r>
    </w:p>
    <w:p w14:paraId="72F0C65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保修费用由造成质量缺陷的责任方承担。</w:t>
      </w:r>
    </w:p>
    <w:p w14:paraId="76D6A2D0">
      <w:pPr>
        <w:keepNext w:val="0"/>
        <w:keepLines w:val="0"/>
        <w:pageBreakBefore w:val="0"/>
        <w:widowControl w:val="0"/>
        <w:kinsoku/>
        <w:wordWrap/>
        <w:overflowPunct/>
        <w:topLinePunct w:val="0"/>
        <w:autoSpaceDE/>
        <w:autoSpaceDN/>
        <w:bidi w:val="0"/>
        <w:adjustRightInd/>
        <w:snapToGrid/>
        <w:spacing w:line="360" w:lineRule="auto"/>
        <w:ind w:firstLine="600"/>
        <w:jc w:val="left"/>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 xml:space="preserve">                  </w:t>
      </w:r>
    </w:p>
    <w:p w14:paraId="4A9232B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E2196C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798E6B53">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仿宋" w:hAnsi="仿宋" w:eastAsia="仿宋" w:cs="仿宋"/>
          <w:color w:val="auto"/>
          <w:sz w:val="24"/>
          <w:szCs w:val="24"/>
          <w:highlight w:val="none"/>
        </w:rPr>
      </w:pPr>
    </w:p>
    <w:p w14:paraId="38A1679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 xml:space="preserve"> 承包人(公章)：</w:t>
      </w:r>
      <w:r>
        <w:rPr>
          <w:rFonts w:hint="eastAsia" w:ascii="仿宋" w:hAnsi="仿宋" w:eastAsia="仿宋" w:cs="仿宋"/>
          <w:color w:val="auto"/>
          <w:sz w:val="24"/>
          <w:szCs w:val="24"/>
          <w:highlight w:val="none"/>
          <w:u w:val="single"/>
        </w:rPr>
        <w:t xml:space="preserve">           </w:t>
      </w:r>
    </w:p>
    <w:p w14:paraId="77B3C56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7657809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法定代表人(签字)：</w:t>
      </w:r>
      <w:r>
        <w:rPr>
          <w:rFonts w:hint="eastAsia" w:ascii="仿宋" w:hAnsi="仿宋" w:eastAsia="仿宋" w:cs="仿宋"/>
          <w:color w:val="auto"/>
          <w:sz w:val="24"/>
          <w:szCs w:val="24"/>
          <w:highlight w:val="none"/>
          <w:u w:val="single"/>
        </w:rPr>
        <w:t xml:space="preserve">       </w:t>
      </w:r>
    </w:p>
    <w:p w14:paraId="067CF0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委托代理人(签字)：</w:t>
      </w:r>
      <w:r>
        <w:rPr>
          <w:rFonts w:hint="eastAsia" w:ascii="仿宋" w:hAnsi="仿宋" w:eastAsia="仿宋" w:cs="仿宋"/>
          <w:color w:val="auto"/>
          <w:sz w:val="24"/>
          <w:szCs w:val="24"/>
          <w:highlight w:val="none"/>
          <w:u w:val="single"/>
        </w:rPr>
        <w:t xml:space="preserve">       </w:t>
      </w:r>
    </w:p>
    <w:p w14:paraId="72E244D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5FF8DB2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2AF74F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0DD2241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045FD2A9">
      <w:pPr>
        <w:rPr>
          <w:rFonts w:hint="eastAsia" w:ascii="仿宋" w:hAnsi="仿宋" w:eastAsia="仿宋" w:cs="仿宋"/>
          <w:color w:val="auto"/>
          <w:highlight w:val="none"/>
          <w:lang w:val="en-US" w:eastAsia="zh-Hans"/>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501DBE57">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DA1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unhideWhenUsed/>
    <w:qFormat/>
    <w:uiPriority w:val="0"/>
    <w:pPr>
      <w:spacing w:after="120"/>
    </w:pPr>
  </w:style>
  <w:style w:type="paragraph" w:styleId="4">
    <w:name w:val="Body Text Indent"/>
    <w:basedOn w:val="1"/>
    <w:qFormat/>
    <w:uiPriority w:val="0"/>
    <w:pPr>
      <w:widowControl/>
      <w:ind w:firstLine="652" w:firstLineChars="233"/>
    </w:pPr>
    <w:rPr>
      <w:rFonts w:ascii="Times New Roman"/>
      <w:sz w:val="28"/>
    </w:rPr>
  </w:style>
  <w:style w:type="paragraph" w:styleId="5">
    <w:name w:val="Plain Text"/>
    <w:basedOn w:val="1"/>
    <w:qFormat/>
    <w:uiPriority w:val="99"/>
    <w:rPr>
      <w:rFonts w:ascii="宋体" w:hAnsi="Courier New" w:cs="宋体"/>
    </w:rPr>
  </w:style>
  <w:style w:type="paragraph" w:styleId="6">
    <w:name w:val="Body Text First Indent"/>
    <w:basedOn w:val="3"/>
    <w:next w:val="7"/>
    <w:qFormat/>
    <w:uiPriority w:val="99"/>
    <w:pPr>
      <w:ind w:firstLine="420" w:firstLineChars="100"/>
    </w:pPr>
    <w:rPr>
      <w:rFonts w:ascii="宋体"/>
    </w:rPr>
  </w:style>
  <w:style w:type="paragraph" w:styleId="7">
    <w:name w:val="Body Text First Indent 2"/>
    <w:basedOn w:val="4"/>
    <w:qFormat/>
    <w:uiPriority w:val="0"/>
    <w:pPr>
      <w:widowControl w:val="0"/>
      <w:spacing w:after="120" w:line="240" w:lineRule="auto"/>
      <w:ind w:left="420" w:leftChars="200" w:firstLine="420" w:firstLineChars="200"/>
      <w:jc w:val="both"/>
    </w:pPr>
    <w:rPr>
      <w:rFonts w:ascii="Times New Roman" w:hAnsi="Times New Roman" w:eastAsia="宋体"/>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2026-07-23T14:22:35Z</dcterms:created>
  <dc:creator>Administrator</dc:creator>
  <cp:lastModifiedBy>doit</cp:lastModifiedBy>
  <dcterms:modified xsi:type="dcterms:W3CDTF">2026-07-23T14:22:40Z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eyJoZGlkIjoiOGM2OWRiNDIxNjY2Y2UzYTdlNGU5NjdmYTRjNWY4OTciLCJ1c2VySWQiOiI1NDQyNTk1OTUifQ==</vt:lpwstr>
  </property>
  <property fmtid="{D5CDD505-2E9C-101B-9397-08002B2CF9AE}" pid="4" name="ICV">
    <vt:lpwstr>EFCE777B89054E2B87C683CCA2C5A306_12</vt:lpwstr>
  </property>
</Properties>
</file>